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19D" w14:textId="77777777" w:rsidR="00566740" w:rsidRPr="00EB3C12" w:rsidRDefault="000D72C4" w:rsidP="000D72C4">
      <w:pPr>
        <w:jc w:val="center"/>
        <w:rPr>
          <w:rFonts w:cs="Calibri"/>
          <w:b/>
          <w:bCs/>
        </w:rPr>
      </w:pPr>
      <w:bookmarkStart w:id="0" w:name="OLE_LINK3"/>
      <w:r w:rsidRPr="00EB3C12">
        <w:rPr>
          <w:rFonts w:cs="Calibri"/>
          <w:b/>
          <w:bCs/>
        </w:rPr>
        <w:t xml:space="preserve">Coalition for Online Accountability </w:t>
      </w:r>
      <w:r w:rsidR="0008590F" w:rsidRPr="00EB3C12">
        <w:rPr>
          <w:rFonts w:cs="Calibri"/>
          <w:b/>
          <w:bCs/>
        </w:rPr>
        <w:t xml:space="preserve">(COA) </w:t>
      </w:r>
      <w:r w:rsidRPr="00EB3C12">
        <w:rPr>
          <w:rFonts w:cs="Calibri"/>
          <w:b/>
          <w:bCs/>
        </w:rPr>
        <w:t xml:space="preserve">Comments </w:t>
      </w:r>
    </w:p>
    <w:p w14:paraId="22247A70" w14:textId="6C2E89FF" w:rsidR="000D72C4" w:rsidRPr="00EB3C12" w:rsidRDefault="000D72C4" w:rsidP="000D72C4">
      <w:pPr>
        <w:jc w:val="center"/>
        <w:rPr>
          <w:rFonts w:cs="Calibri"/>
          <w:b/>
          <w:bCs/>
        </w:rPr>
      </w:pPr>
      <w:r w:rsidRPr="00EB3C12">
        <w:rPr>
          <w:rFonts w:cs="Calibri"/>
          <w:b/>
          <w:bCs/>
        </w:rPr>
        <w:t>on the Registration Data Request Service (RDRS) Policy Alignment Analysis</w:t>
      </w:r>
    </w:p>
    <w:p w14:paraId="7A5B0C44" w14:textId="1D4BE6A1" w:rsidR="0085009E" w:rsidRPr="00EB3C12" w:rsidRDefault="00B0309A" w:rsidP="000D72C4">
      <w:pPr>
        <w:jc w:val="center"/>
        <w:rPr>
          <w:rFonts w:cs="Calibri"/>
          <w:b/>
          <w:bCs/>
        </w:rPr>
      </w:pPr>
      <w:r w:rsidRPr="00EB3C12">
        <w:rPr>
          <w:rFonts w:cs="Calibri"/>
          <w:b/>
          <w:bCs/>
        </w:rPr>
        <w:t xml:space="preserve">15 </w:t>
      </w:r>
      <w:r w:rsidR="0085009E" w:rsidRPr="00EB3C12">
        <w:rPr>
          <w:rFonts w:cs="Calibri"/>
          <w:b/>
          <w:bCs/>
        </w:rPr>
        <w:t>December 2025</w:t>
      </w:r>
    </w:p>
    <w:p w14:paraId="7F098DCB" w14:textId="77777777" w:rsidR="00B83EDE" w:rsidRPr="00EB3C12" w:rsidRDefault="000D72C4" w:rsidP="000D72C4">
      <w:pPr>
        <w:rPr>
          <w:rFonts w:cs="Calibri"/>
        </w:rPr>
      </w:pPr>
      <w:r w:rsidRPr="00EB3C12">
        <w:rPr>
          <w:rFonts w:cs="Calibri"/>
        </w:rPr>
        <w:t xml:space="preserve">The Coalition for Online Accountability (COA) </w:t>
      </w:r>
      <w:r w:rsidR="0008590F" w:rsidRPr="00EB3C12">
        <w:rPr>
          <w:rFonts w:cs="Calibri"/>
        </w:rPr>
        <w:t xml:space="preserve">appreciates </w:t>
      </w:r>
      <w:r w:rsidRPr="00EB3C12">
        <w:rPr>
          <w:rFonts w:cs="Calibri"/>
        </w:rPr>
        <w:t xml:space="preserve">the opportunity to comment on the Registration Data Request Service (RDRS) Policy Alignment Analysis paper (30 Oct 2025). </w:t>
      </w:r>
    </w:p>
    <w:p w14:paraId="0A27A2C6" w14:textId="77777777" w:rsidR="00B83EDE" w:rsidRPr="00EB3C12" w:rsidRDefault="00B83EDE" w:rsidP="00B83EDE">
      <w:pPr>
        <w:spacing w:after="0" w:line="240" w:lineRule="auto"/>
        <w:rPr>
          <w:rFonts w:cs="Calibri"/>
        </w:rPr>
      </w:pPr>
      <w:r w:rsidRPr="00EB3C12">
        <w:rPr>
          <w:rFonts w:cs="Calibri"/>
        </w:rPr>
        <w:t>About COA</w:t>
      </w:r>
    </w:p>
    <w:p w14:paraId="2D9C43F9" w14:textId="77777777" w:rsidR="00B83EDE" w:rsidRPr="00EB3C12" w:rsidRDefault="00B83EDE" w:rsidP="00B83EDE">
      <w:pPr>
        <w:spacing w:after="0" w:line="240" w:lineRule="auto"/>
        <w:rPr>
          <w:rFonts w:eastAsia="Times New Roman" w:cs="Calibri"/>
          <w:color w:val="212121"/>
          <w:kern w:val="0"/>
          <w14:ligatures w14:val="none"/>
        </w:rPr>
      </w:pPr>
    </w:p>
    <w:p w14:paraId="5EE86A37" w14:textId="7DFC8036" w:rsidR="00B83EDE" w:rsidRPr="00136BDD" w:rsidRDefault="00B83EDE" w:rsidP="00B83EDE">
      <w:pPr>
        <w:spacing w:after="0" w:line="240" w:lineRule="auto"/>
        <w:rPr>
          <w:rFonts w:eastAsia="Times New Roman" w:cs="Calibri"/>
          <w:color w:val="333333"/>
          <w:kern w:val="0"/>
          <w14:ligatures w14:val="none"/>
        </w:rPr>
      </w:pPr>
      <w:r w:rsidRPr="00EB3C12">
        <w:rPr>
          <w:rFonts w:eastAsia="Times New Roman" w:cs="Calibri"/>
          <w:color w:val="333333"/>
          <w:kern w:val="0"/>
          <w14:ligatures w14:val="none"/>
        </w:rPr>
        <w:t>The Coalition for Online Accountability's (</w:t>
      </w:r>
      <w:hyperlink r:id="rId5" w:history="1">
        <w:r w:rsidRPr="00A01C24">
          <w:rPr>
            <w:rStyle w:val="Hyperlink"/>
            <w:rFonts w:eastAsia="Times New Roman" w:cs="Calibri"/>
            <w:kern w:val="0"/>
            <w14:ligatures w14:val="none"/>
          </w:rPr>
          <w:t>COA</w:t>
        </w:r>
      </w:hyperlink>
      <w:r w:rsidRPr="00EB3C12">
        <w:rPr>
          <w:rFonts w:eastAsia="Times New Roman" w:cs="Calibri"/>
          <w:color w:val="333333"/>
          <w:kern w:val="0"/>
          <w14:ligatures w14:val="none"/>
        </w:rPr>
        <w:t xml:space="preserve">) goal is to enhance and strengthen online transparency and accountability by working to ensure </w:t>
      </w:r>
      <w:r w:rsidR="00136BDD" w:rsidRPr="00136BDD">
        <w:rPr>
          <w:rFonts w:eastAsia="Times New Roman" w:cs="Calibri"/>
          <w:color w:val="333333"/>
          <w:kern w:val="0"/>
          <w14:ligatures w14:val="none"/>
        </w:rPr>
        <w:t>that domain name and IP address WHOIS databases remain accessible, accurate, and reliable for IP rightsholders and other legitimate access seekers</w:t>
      </w:r>
      <w:r w:rsidRPr="00EB3C12">
        <w:rPr>
          <w:rFonts w:eastAsia="Times New Roman" w:cs="Calibri"/>
          <w:color w:val="333333"/>
          <w:kern w:val="0"/>
          <w14:ligatures w14:val="none"/>
        </w:rPr>
        <w:t>, as key tools against online infringement of copyright, as well as to combat trademark infringement, cybersquatting, phishing, and other fraudulent or criminal acts online. COA consists of s</w:t>
      </w:r>
      <w:r w:rsidR="00BC1898" w:rsidRPr="00EB3C12">
        <w:rPr>
          <w:rFonts w:eastAsia="Times New Roman" w:cs="Calibri"/>
          <w:color w:val="333333"/>
          <w:kern w:val="0"/>
          <w14:ligatures w14:val="none"/>
        </w:rPr>
        <w:t>ix</w:t>
      </w:r>
      <w:r w:rsidRPr="00EB3C12">
        <w:rPr>
          <w:rFonts w:eastAsia="Times New Roman" w:cs="Calibri"/>
          <w:color w:val="333333"/>
          <w:kern w:val="0"/>
          <w14:ligatures w14:val="none"/>
        </w:rPr>
        <w:t xml:space="preserve"> leading copyright industry companies, trade associations and member organizations of many of </w:t>
      </w:r>
      <w:r w:rsidRPr="00EB3C12">
        <w:rPr>
          <w:rFonts w:eastAsia="Times New Roman" w:cs="Calibri"/>
          <w:color w:val="212121"/>
          <w:kern w:val="0"/>
          <w14:ligatures w14:val="none"/>
        </w:rPr>
        <w:t xml:space="preserve">the largest </w:t>
      </w:r>
      <w:r w:rsidR="001A5F77">
        <w:rPr>
          <w:rFonts w:eastAsia="Times New Roman" w:cs="Calibri"/>
          <w:color w:val="212121"/>
          <w:kern w:val="0"/>
          <w14:ligatures w14:val="none"/>
        </w:rPr>
        <w:t xml:space="preserve">intellectual property </w:t>
      </w:r>
      <w:r w:rsidRPr="00EB3C12">
        <w:rPr>
          <w:rFonts w:eastAsia="Times New Roman" w:cs="Calibri"/>
          <w:color w:val="212121"/>
          <w:kern w:val="0"/>
          <w14:ligatures w14:val="none"/>
        </w:rPr>
        <w:t xml:space="preserve">owners in the world including the world’s largest motion pictures studios, the world’s largest music companies, and </w:t>
      </w:r>
      <w:r w:rsidRPr="00EB3C12">
        <w:rPr>
          <w:rFonts w:eastAsia="Times New Roman" w:cs="Calibri"/>
          <w:strike/>
          <w:color w:val="212121"/>
          <w:kern w:val="0"/>
          <w14:ligatures w14:val="none"/>
        </w:rPr>
        <w:t xml:space="preserve"> </w:t>
      </w:r>
      <w:r w:rsidRPr="00EB3C12">
        <w:rPr>
          <w:rFonts w:eastAsia="Times New Roman" w:cs="Calibri"/>
          <w:color w:val="212121"/>
          <w:kern w:val="0"/>
          <w14:ligatures w14:val="none"/>
        </w:rPr>
        <w:t>the world’s largest game creators and video game platform companies.</w:t>
      </w:r>
    </w:p>
    <w:p w14:paraId="153FBA1E" w14:textId="77777777" w:rsidR="00B83EDE" w:rsidRPr="00EB3C12" w:rsidRDefault="00B83EDE" w:rsidP="00B83EDE">
      <w:pPr>
        <w:shd w:val="clear" w:color="auto" w:fill="FFFFFF"/>
        <w:spacing w:after="0" w:line="240" w:lineRule="auto"/>
        <w:rPr>
          <w:rFonts w:eastAsia="Times New Roman" w:cs="Calibri"/>
          <w:color w:val="333333"/>
          <w:kern w:val="0"/>
          <w14:ligatures w14:val="none"/>
        </w:rPr>
      </w:pPr>
    </w:p>
    <w:p w14:paraId="7F8EA3A1" w14:textId="6AECF528" w:rsidR="00B83EDE" w:rsidRPr="00EB3C12" w:rsidRDefault="00B83EDE" w:rsidP="00A219C2">
      <w:pPr>
        <w:shd w:val="clear" w:color="auto" w:fill="FFFFFF"/>
        <w:spacing w:after="0" w:line="240" w:lineRule="auto"/>
        <w:rPr>
          <w:rFonts w:eastAsia="Times New Roman" w:cs="Calibri"/>
          <w:color w:val="333333"/>
          <w:kern w:val="0"/>
          <w14:ligatures w14:val="none"/>
        </w:rPr>
      </w:pPr>
      <w:r w:rsidRPr="00EB3C12">
        <w:rPr>
          <w:rFonts w:eastAsia="Times New Roman" w:cs="Calibri"/>
          <w:color w:val="333333"/>
          <w:kern w:val="0"/>
          <w14:ligatures w14:val="none"/>
        </w:rPr>
        <w:t xml:space="preserve">COA’s members </w:t>
      </w:r>
      <w:r w:rsidR="008E3E68" w:rsidRPr="00EB3C12">
        <w:rPr>
          <w:rFonts w:eastAsia="Times New Roman" w:cs="Calibri"/>
          <w:color w:val="333333"/>
          <w:kern w:val="0"/>
          <w14:ligatures w14:val="none"/>
        </w:rPr>
        <w:t>are</w:t>
      </w:r>
      <w:r w:rsidR="00A219C2" w:rsidRPr="00EB3C12">
        <w:rPr>
          <w:rFonts w:eastAsia="Times New Roman" w:cs="Calibri"/>
          <w:color w:val="333333"/>
          <w:kern w:val="0"/>
          <w14:ligatures w14:val="none"/>
        </w:rPr>
        <w:t xml:space="preserve"> </w:t>
      </w:r>
      <w:r w:rsidRPr="00EB3C12">
        <w:rPr>
          <w:rFonts w:eastAsia="Times New Roman" w:cs="Calibri"/>
          <w:color w:val="333333"/>
          <w:kern w:val="0"/>
          <w14:ligatures w14:val="none"/>
        </w:rPr>
        <w:t>Broadcast Music, Inc. (</w:t>
      </w:r>
      <w:hyperlink r:id="rId6" w:history="1">
        <w:r w:rsidRPr="00A01C24">
          <w:rPr>
            <w:rStyle w:val="Hyperlink"/>
            <w:rFonts w:eastAsia="Times New Roman" w:cs="Calibri"/>
            <w:kern w:val="0"/>
            <w14:ligatures w14:val="none"/>
          </w:rPr>
          <w:t>B</w:t>
        </w:r>
        <w:r w:rsidRPr="00A01C24">
          <w:rPr>
            <w:rStyle w:val="Hyperlink"/>
            <w:rFonts w:eastAsia="Times New Roman" w:cs="Calibri"/>
            <w:kern w:val="0"/>
            <w14:ligatures w14:val="none"/>
          </w:rPr>
          <w:t>M</w:t>
        </w:r>
        <w:r w:rsidRPr="00A01C24">
          <w:rPr>
            <w:rStyle w:val="Hyperlink"/>
            <w:rFonts w:eastAsia="Times New Roman" w:cs="Calibri"/>
            <w:kern w:val="0"/>
            <w14:ligatures w14:val="none"/>
          </w:rPr>
          <w:t>I</w:t>
        </w:r>
      </w:hyperlink>
      <w:r w:rsidRPr="00EB3C12">
        <w:rPr>
          <w:rFonts w:eastAsia="Times New Roman" w:cs="Calibri"/>
          <w:color w:val="333333"/>
          <w:kern w:val="0"/>
          <w14:ligatures w14:val="none"/>
        </w:rPr>
        <w:t>);</w:t>
      </w:r>
      <w:r w:rsidR="00A219C2" w:rsidRPr="00EB3C12">
        <w:rPr>
          <w:rFonts w:eastAsia="Times New Roman" w:cs="Calibri"/>
          <w:color w:val="333333"/>
          <w:kern w:val="0"/>
          <w14:ligatures w14:val="none"/>
        </w:rPr>
        <w:t xml:space="preserve"> </w:t>
      </w:r>
      <w:r w:rsidRPr="00EB3C12">
        <w:rPr>
          <w:rFonts w:eastAsia="Times New Roman" w:cs="Calibri"/>
          <w:color w:val="333333"/>
          <w:kern w:val="0"/>
          <w14:ligatures w14:val="none"/>
        </w:rPr>
        <w:t>Entertainment Software Association (</w:t>
      </w:r>
      <w:hyperlink r:id="rId7" w:history="1">
        <w:r w:rsidRPr="00A01C24">
          <w:rPr>
            <w:rStyle w:val="Hyperlink"/>
            <w:rFonts w:eastAsia="Times New Roman" w:cs="Calibri"/>
            <w:kern w:val="0"/>
            <w14:ligatures w14:val="none"/>
          </w:rPr>
          <w:t>ESA</w:t>
        </w:r>
      </w:hyperlink>
      <w:r w:rsidRPr="00EB3C12">
        <w:rPr>
          <w:rFonts w:eastAsia="Times New Roman" w:cs="Calibri"/>
          <w:color w:val="333333"/>
          <w:kern w:val="0"/>
          <w14:ligatures w14:val="none"/>
        </w:rPr>
        <w:t>);</w:t>
      </w:r>
      <w:r w:rsidR="008E3E68" w:rsidRPr="00EB3C12">
        <w:rPr>
          <w:rFonts w:eastAsia="Times New Roman" w:cs="Calibri"/>
          <w:color w:val="333333"/>
          <w:kern w:val="0"/>
          <w14:ligatures w14:val="none"/>
        </w:rPr>
        <w:t xml:space="preserve"> </w:t>
      </w:r>
      <w:r w:rsidRPr="00EB3C12">
        <w:rPr>
          <w:rFonts w:eastAsia="Times New Roman" w:cs="Calibri"/>
          <w:color w:val="333333"/>
          <w:kern w:val="0"/>
          <w14:ligatures w14:val="none"/>
        </w:rPr>
        <w:t>Motion Picture Association (</w:t>
      </w:r>
      <w:hyperlink r:id="rId8" w:history="1">
        <w:r w:rsidRPr="00A01C24">
          <w:rPr>
            <w:rStyle w:val="Hyperlink"/>
            <w:rFonts w:eastAsia="Times New Roman" w:cs="Calibri"/>
            <w:kern w:val="0"/>
            <w14:ligatures w14:val="none"/>
          </w:rPr>
          <w:t>MPA</w:t>
        </w:r>
      </w:hyperlink>
      <w:r w:rsidRPr="00EB3C12">
        <w:rPr>
          <w:rFonts w:eastAsia="Times New Roman" w:cs="Calibri"/>
          <w:color w:val="333333"/>
          <w:kern w:val="0"/>
          <w14:ligatures w14:val="none"/>
        </w:rPr>
        <w:t>);</w:t>
      </w:r>
      <w:r w:rsidR="00A219C2" w:rsidRPr="00EB3C12">
        <w:rPr>
          <w:rFonts w:eastAsia="Times New Roman" w:cs="Calibri"/>
          <w:color w:val="333333"/>
          <w:kern w:val="0"/>
          <w14:ligatures w14:val="none"/>
        </w:rPr>
        <w:t xml:space="preserve"> </w:t>
      </w:r>
      <w:hyperlink r:id="rId9" w:history="1">
        <w:r w:rsidRPr="00A01C24">
          <w:rPr>
            <w:rStyle w:val="Hyperlink"/>
            <w:rFonts w:eastAsia="Times New Roman" w:cs="Calibri"/>
            <w:kern w:val="0"/>
            <w14:ligatures w14:val="none"/>
          </w:rPr>
          <w:t>NBCUniversal</w:t>
        </w:r>
      </w:hyperlink>
      <w:r w:rsidRPr="00EB3C12">
        <w:rPr>
          <w:rFonts w:eastAsia="Times New Roman" w:cs="Calibri"/>
          <w:color w:val="333333"/>
          <w:kern w:val="0"/>
          <w14:ligatures w14:val="none"/>
        </w:rPr>
        <w:t>;</w:t>
      </w:r>
      <w:r w:rsidR="00A219C2" w:rsidRPr="00EB3C12">
        <w:rPr>
          <w:rFonts w:eastAsia="Times New Roman" w:cs="Calibri"/>
          <w:color w:val="333333"/>
          <w:kern w:val="0"/>
          <w14:ligatures w14:val="none"/>
        </w:rPr>
        <w:t xml:space="preserve"> </w:t>
      </w:r>
      <w:r w:rsidRPr="00EB3C12">
        <w:rPr>
          <w:rFonts w:eastAsia="Times New Roman" w:cs="Calibri"/>
          <w:color w:val="333333"/>
          <w:kern w:val="0"/>
          <w14:ligatures w14:val="none"/>
        </w:rPr>
        <w:t>Recording Industry Association of America (</w:t>
      </w:r>
      <w:hyperlink r:id="rId10" w:history="1">
        <w:r w:rsidRPr="00A01C24">
          <w:rPr>
            <w:rStyle w:val="Hyperlink"/>
            <w:rFonts w:eastAsia="Times New Roman" w:cs="Calibri"/>
            <w:kern w:val="0"/>
            <w14:ligatures w14:val="none"/>
          </w:rPr>
          <w:t>RIAA</w:t>
        </w:r>
      </w:hyperlink>
      <w:r w:rsidRPr="00EB3C12">
        <w:rPr>
          <w:rFonts w:eastAsia="Times New Roman" w:cs="Calibri"/>
          <w:color w:val="333333"/>
          <w:kern w:val="0"/>
          <w14:ligatures w14:val="none"/>
        </w:rPr>
        <w:t>)</w:t>
      </w:r>
      <w:r w:rsidR="00A219C2" w:rsidRPr="00EB3C12">
        <w:rPr>
          <w:rFonts w:eastAsia="Times New Roman" w:cs="Calibri"/>
          <w:color w:val="333333"/>
          <w:kern w:val="0"/>
          <w14:ligatures w14:val="none"/>
        </w:rPr>
        <w:t xml:space="preserve"> and </w:t>
      </w:r>
      <w:hyperlink r:id="rId11" w:anchor="our-businesses" w:history="1">
        <w:r w:rsidRPr="003D5B0F">
          <w:rPr>
            <w:rStyle w:val="Hyperlink"/>
            <w:rFonts w:eastAsia="Times New Roman" w:cs="Calibri"/>
            <w:kern w:val="0"/>
            <w14:ligatures w14:val="none"/>
          </w:rPr>
          <w:t>The Walt Disn</w:t>
        </w:r>
        <w:r w:rsidRPr="003D5B0F">
          <w:rPr>
            <w:rStyle w:val="Hyperlink"/>
            <w:rFonts w:eastAsia="Times New Roman" w:cs="Calibri"/>
            <w:kern w:val="0"/>
            <w14:ligatures w14:val="none"/>
          </w:rPr>
          <w:t>e</w:t>
        </w:r>
        <w:r w:rsidRPr="003D5B0F">
          <w:rPr>
            <w:rStyle w:val="Hyperlink"/>
            <w:rFonts w:eastAsia="Times New Roman" w:cs="Calibri"/>
            <w:kern w:val="0"/>
            <w14:ligatures w14:val="none"/>
          </w:rPr>
          <w:t>y Company</w:t>
        </w:r>
      </w:hyperlink>
      <w:r w:rsidRPr="00EB3C12">
        <w:rPr>
          <w:rFonts w:eastAsia="Times New Roman" w:cs="Calibri"/>
          <w:color w:val="333333"/>
          <w:kern w:val="0"/>
          <w14:ligatures w14:val="none"/>
        </w:rPr>
        <w:t>.</w:t>
      </w:r>
    </w:p>
    <w:p w14:paraId="1E285419" w14:textId="77777777" w:rsidR="00B83EDE" w:rsidRPr="00EB3C12" w:rsidRDefault="00B83EDE" w:rsidP="00B83EDE">
      <w:pPr>
        <w:spacing w:after="0" w:line="240" w:lineRule="auto"/>
        <w:rPr>
          <w:rFonts w:eastAsia="Times New Roman" w:cs="Calibri"/>
          <w:color w:val="212121"/>
          <w:kern w:val="0"/>
          <w14:ligatures w14:val="none"/>
        </w:rPr>
      </w:pPr>
    </w:p>
    <w:p w14:paraId="5EE0FC2B" w14:textId="005321C7" w:rsidR="008B15F3" w:rsidRPr="00EB3C12" w:rsidRDefault="00B83EDE" w:rsidP="008B15F3">
      <w:p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 xml:space="preserve">COA </w:t>
      </w:r>
      <w:r w:rsidRPr="00EB3C12">
        <w:rPr>
          <w:rFonts w:eastAsia="Times New Roman" w:cs="Calibri"/>
          <w:color w:val="212121"/>
          <w:kern w:val="0"/>
          <w14:ligatures w14:val="none"/>
        </w:rPr>
        <w:t>participates in the ICANN process primarily through its membership in the IPC and fully supports the IPC’s comments</w:t>
      </w:r>
      <w:r w:rsidR="00A56159" w:rsidRPr="00EB3C12">
        <w:rPr>
          <w:rFonts w:eastAsia="Times New Roman" w:cs="Calibri"/>
          <w:color w:val="212121"/>
          <w:kern w:val="0"/>
          <w14:ligatures w14:val="none"/>
        </w:rPr>
        <w:t xml:space="preserve"> with regards to this RDRS Alignment Analysis</w:t>
      </w:r>
      <w:r w:rsidRPr="00EB3C12">
        <w:rPr>
          <w:rFonts w:eastAsia="Times New Roman" w:cs="Calibri"/>
          <w:color w:val="212121"/>
          <w:kern w:val="0"/>
          <w14:ligatures w14:val="none"/>
        </w:rPr>
        <w:t xml:space="preserve">. However, COA would like to address specific </w:t>
      </w:r>
      <w:r w:rsidR="00A56159" w:rsidRPr="00EB3C12">
        <w:rPr>
          <w:rFonts w:eastAsia="Times New Roman" w:cs="Calibri"/>
          <w:color w:val="212121"/>
          <w:kern w:val="0"/>
          <w14:ligatures w14:val="none"/>
        </w:rPr>
        <w:t>areas</w:t>
      </w:r>
      <w:r w:rsidRPr="00EB3C12">
        <w:rPr>
          <w:rFonts w:eastAsia="Times New Roman" w:cs="Calibri"/>
          <w:color w:val="212121"/>
          <w:kern w:val="0"/>
          <w14:ligatures w14:val="none"/>
        </w:rPr>
        <w:t xml:space="preserve"> with regards to the RDRS that are of particular concern </w:t>
      </w:r>
      <w:r w:rsidR="0085009E" w:rsidRPr="00EB3C12">
        <w:rPr>
          <w:rFonts w:eastAsia="Times New Roman" w:cs="Calibri"/>
          <w:color w:val="212121"/>
          <w:kern w:val="0"/>
          <w14:ligatures w14:val="none"/>
        </w:rPr>
        <w:t>to our membership</w:t>
      </w:r>
      <w:r w:rsidR="00A219C2" w:rsidRPr="00EB3C12">
        <w:rPr>
          <w:rFonts w:eastAsia="Times New Roman" w:cs="Calibri"/>
          <w:color w:val="212121"/>
          <w:kern w:val="0"/>
          <w14:ligatures w14:val="none"/>
        </w:rPr>
        <w:t>,</w:t>
      </w:r>
    </w:p>
    <w:p w14:paraId="6B4517EA" w14:textId="77777777" w:rsidR="008B15F3" w:rsidRPr="00EB3C12" w:rsidRDefault="008B15F3" w:rsidP="008B15F3">
      <w:pPr>
        <w:spacing w:after="0" w:line="240" w:lineRule="auto"/>
        <w:rPr>
          <w:rFonts w:eastAsia="Times New Roman" w:cs="Calibri"/>
          <w:color w:val="212121"/>
          <w:kern w:val="0"/>
          <w14:ligatures w14:val="none"/>
        </w:rPr>
      </w:pPr>
    </w:p>
    <w:p w14:paraId="446CE92B" w14:textId="54B36B76" w:rsidR="0008590F" w:rsidRPr="00EB3C12" w:rsidRDefault="0008590F" w:rsidP="008B15F3">
      <w:pPr>
        <w:spacing w:after="0" w:line="240" w:lineRule="auto"/>
        <w:rPr>
          <w:rFonts w:eastAsia="Times New Roman" w:cs="Calibri"/>
          <w:color w:val="212121"/>
          <w:kern w:val="0"/>
          <w14:ligatures w14:val="none"/>
        </w:rPr>
      </w:pPr>
      <w:r w:rsidRPr="00EB3C12">
        <w:rPr>
          <w:rFonts w:cs="Calibri"/>
        </w:rPr>
        <w:t>COA</w:t>
      </w:r>
      <w:r w:rsidR="000D72C4" w:rsidRPr="00EB3C12">
        <w:rPr>
          <w:rFonts w:cs="Calibri"/>
        </w:rPr>
        <w:t xml:space="preserve"> strongly welcomes efforts </w:t>
      </w:r>
      <w:r w:rsidR="0085009E" w:rsidRPr="00EB3C12">
        <w:rPr>
          <w:rFonts w:cs="Calibri"/>
        </w:rPr>
        <w:t xml:space="preserve">by ICANN </w:t>
      </w:r>
      <w:r w:rsidR="000D72C4" w:rsidRPr="00EB3C12">
        <w:rPr>
          <w:rFonts w:cs="Calibri"/>
        </w:rPr>
        <w:t>to address the gaps identified in the analysis</w:t>
      </w:r>
      <w:r w:rsidRPr="00EB3C12">
        <w:rPr>
          <w:rFonts w:cs="Calibri"/>
        </w:rPr>
        <w:t xml:space="preserve">. However, </w:t>
      </w:r>
      <w:r w:rsidRPr="00EB3C12">
        <w:rPr>
          <w:rFonts w:eastAsia="Times New Roman" w:cs="Calibri"/>
          <w:color w:val="212121"/>
          <w:kern w:val="0"/>
          <w14:ligatures w14:val="none"/>
        </w:rPr>
        <w:t>we believe that the current RDRS scheme has significant issues that need to be addresse</w:t>
      </w:r>
      <w:r w:rsidR="00377353" w:rsidRPr="00EB3C12">
        <w:rPr>
          <w:rFonts w:eastAsia="Times New Roman" w:cs="Calibri"/>
          <w:color w:val="212121"/>
          <w:kern w:val="0"/>
          <w14:ligatures w14:val="none"/>
        </w:rPr>
        <w:t>d</w:t>
      </w:r>
      <w:r w:rsidRPr="00EB3C12">
        <w:rPr>
          <w:rFonts w:eastAsia="Times New Roman" w:cs="Calibri"/>
          <w:color w:val="212121"/>
          <w:kern w:val="0"/>
          <w14:ligatures w14:val="none"/>
        </w:rPr>
        <w:t>. In particular we want to express o</w:t>
      </w:r>
      <w:r w:rsidR="008B15F3" w:rsidRPr="00EB3C12">
        <w:rPr>
          <w:rFonts w:eastAsia="Times New Roman" w:cs="Calibri"/>
          <w:color w:val="212121"/>
          <w:kern w:val="0"/>
          <w14:ligatures w14:val="none"/>
        </w:rPr>
        <w:t>u</w:t>
      </w:r>
      <w:r w:rsidRPr="00EB3C12">
        <w:rPr>
          <w:rFonts w:eastAsia="Times New Roman" w:cs="Calibri"/>
          <w:color w:val="212121"/>
          <w:kern w:val="0"/>
          <w14:ligatures w14:val="none"/>
        </w:rPr>
        <w:t>r concerns with regards to the following:</w:t>
      </w:r>
    </w:p>
    <w:p w14:paraId="72A6074A" w14:textId="513CFD0A" w:rsidR="0008590F" w:rsidRPr="00EB3C12" w:rsidRDefault="0008590F" w:rsidP="00F83A62">
      <w:pPr>
        <w:rPr>
          <w:rFonts w:eastAsia="Times New Roman" w:cs="Calibri"/>
          <w:color w:val="212121"/>
          <w:kern w:val="0"/>
          <w14:ligatures w14:val="none"/>
        </w:rPr>
      </w:pPr>
      <w:r w:rsidRPr="00EB3C12">
        <w:rPr>
          <w:rFonts w:eastAsia="Times New Roman" w:cs="Calibri"/>
          <w:color w:val="212121"/>
          <w:kern w:val="0"/>
          <w14:ligatures w14:val="none"/>
        </w:rPr>
        <w:t xml:space="preserve">(1) </w:t>
      </w:r>
      <w:r w:rsidR="00F83A62" w:rsidRPr="00EB3C12">
        <w:t>r</w:t>
      </w:r>
      <w:r w:rsidR="00F83A62" w:rsidRPr="00EB3C12">
        <w:t xml:space="preserve">egistrar </w:t>
      </w:r>
      <w:r w:rsidR="00F83A62" w:rsidRPr="00EB3C12">
        <w:t>p</w:t>
      </w:r>
      <w:r w:rsidR="00F83A62" w:rsidRPr="00EB3C12">
        <w:t>articipation in RDRS</w:t>
      </w:r>
      <w:r w:rsidR="00F83A62" w:rsidRPr="00EB3C12">
        <w:t xml:space="preserve"> is not mandatory, (2</w:t>
      </w:r>
      <w:r w:rsidR="00B32C60" w:rsidRPr="00EB3C12">
        <w:rPr>
          <w:rFonts w:eastAsia="Times New Roman" w:cs="Calibri"/>
          <w:color w:val="212121"/>
          <w:kern w:val="0"/>
          <w14:ligatures w14:val="none"/>
        </w:rPr>
        <w:t xml:space="preserve">) </w:t>
      </w:r>
      <w:r w:rsidRPr="00EB3C12">
        <w:rPr>
          <w:rFonts w:eastAsia="Times New Roman" w:cs="Calibri"/>
          <w:color w:val="212121"/>
          <w:kern w:val="0"/>
          <w14:ligatures w14:val="none"/>
        </w:rPr>
        <w:t>requests are not processed within specified timelines</w:t>
      </w:r>
      <w:r w:rsidR="00B32C60" w:rsidRPr="00EB3C12">
        <w:rPr>
          <w:rFonts w:eastAsia="Times New Roman" w:cs="Calibri"/>
          <w:color w:val="212121"/>
          <w:kern w:val="0"/>
          <w14:ligatures w14:val="none"/>
        </w:rPr>
        <w:t>,</w:t>
      </w:r>
      <w:r w:rsidRPr="00EB3C12">
        <w:rPr>
          <w:rFonts w:eastAsia="Times New Roman" w:cs="Calibri"/>
          <w:color w:val="212121"/>
          <w:kern w:val="0"/>
          <w14:ligatures w14:val="none"/>
        </w:rPr>
        <w:t xml:space="preserve"> (</w:t>
      </w:r>
      <w:r w:rsidR="00B32C60" w:rsidRPr="00EB3C12">
        <w:rPr>
          <w:rFonts w:eastAsia="Times New Roman" w:cs="Calibri"/>
          <w:color w:val="212121"/>
          <w:kern w:val="0"/>
          <w14:ligatures w14:val="none"/>
        </w:rPr>
        <w:t>3</w:t>
      </w:r>
      <w:r w:rsidRPr="00EB3C12">
        <w:rPr>
          <w:rFonts w:eastAsia="Times New Roman" w:cs="Calibri"/>
          <w:color w:val="212121"/>
          <w:kern w:val="0"/>
          <w14:ligatures w14:val="none"/>
        </w:rPr>
        <w:t>) responses lack transparency; and (</w:t>
      </w:r>
      <w:r w:rsidR="00B32C60" w:rsidRPr="00EB3C12">
        <w:rPr>
          <w:rFonts w:eastAsia="Times New Roman" w:cs="Calibri"/>
          <w:color w:val="212121"/>
          <w:kern w:val="0"/>
          <w14:ligatures w14:val="none"/>
        </w:rPr>
        <w:t>4</w:t>
      </w:r>
      <w:r w:rsidRPr="00EB3C12">
        <w:rPr>
          <w:rFonts w:eastAsia="Times New Roman" w:cs="Calibri"/>
          <w:color w:val="212121"/>
          <w:kern w:val="0"/>
          <w14:ligatures w14:val="none"/>
        </w:rPr>
        <w:t>) processes could be further streamlined and made more user friendly. These issues likely have contributed to the low up-take and utilization of the program. The objective of the RDRS,</w:t>
      </w:r>
      <w:r w:rsidRPr="00EB3C12">
        <w:rPr>
          <w:rFonts w:eastAsia="Times New Roman" w:cs="Calibri"/>
          <w:color w:val="212121"/>
          <w:kern w:val="0"/>
          <w:shd w:val="clear" w:color="auto" w:fill="FFFFFF"/>
          <w14:ligatures w14:val="none"/>
        </w:rPr>
        <w:t xml:space="preserve"> i.e., to facilitate a pathway for rightsholders with legitimate interests to access non-public registration data</w:t>
      </w:r>
      <w:r w:rsidR="00BC1898" w:rsidRPr="00EB3C12">
        <w:rPr>
          <w:rFonts w:eastAsia="Times New Roman" w:cs="Calibri"/>
          <w:color w:val="212121"/>
          <w:kern w:val="0"/>
          <w:shd w:val="clear" w:color="auto" w:fill="FFFFFF"/>
          <w14:ligatures w14:val="none"/>
        </w:rPr>
        <w:t>,</w:t>
      </w:r>
      <w:r w:rsidRPr="00EB3C12">
        <w:rPr>
          <w:rFonts w:eastAsia="Times New Roman" w:cs="Calibri"/>
          <w:color w:val="212121"/>
          <w:kern w:val="0"/>
          <w:shd w:val="clear" w:color="auto" w:fill="FFFFFF"/>
          <w14:ligatures w14:val="none"/>
        </w:rPr>
        <w:t xml:space="preserve"> is a laudable one, but we encourage improvements below to better enable the program to f</w:t>
      </w:r>
      <w:r w:rsidR="00BC1898" w:rsidRPr="00EB3C12">
        <w:rPr>
          <w:rFonts w:eastAsia="Times New Roman" w:cs="Calibri"/>
          <w:color w:val="212121"/>
          <w:kern w:val="0"/>
          <w:shd w:val="clear" w:color="auto" w:fill="FFFFFF"/>
          <w14:ligatures w14:val="none"/>
        </w:rPr>
        <w:t>ulfill</w:t>
      </w:r>
      <w:r w:rsidRPr="00EB3C12">
        <w:rPr>
          <w:rFonts w:eastAsia="Times New Roman" w:cs="Calibri"/>
          <w:color w:val="212121"/>
          <w:kern w:val="0"/>
          <w:shd w:val="clear" w:color="auto" w:fill="FFFFFF"/>
          <w14:ligatures w14:val="none"/>
        </w:rPr>
        <w:t xml:space="preserve"> its stated aims.</w:t>
      </w:r>
    </w:p>
    <w:p w14:paraId="67F4A0AF" w14:textId="77777777" w:rsidR="0008590F" w:rsidRPr="00EB3C12" w:rsidRDefault="0008590F" w:rsidP="0008590F">
      <w:pPr>
        <w:spacing w:after="0" w:line="240" w:lineRule="auto"/>
        <w:rPr>
          <w:rFonts w:eastAsia="Times New Roman" w:cs="Calibri"/>
          <w:color w:val="212121"/>
          <w:kern w:val="0"/>
          <w14:ligatures w14:val="none"/>
        </w:rPr>
      </w:pPr>
    </w:p>
    <w:p w14:paraId="4C95C23D" w14:textId="0F1D21E7" w:rsidR="0008590F" w:rsidRPr="00EB3C12" w:rsidRDefault="0008590F" w:rsidP="000D72C4">
      <w:pPr>
        <w:rPr>
          <w:rFonts w:cs="Calibri"/>
        </w:rPr>
      </w:pPr>
      <w:r w:rsidRPr="00EB3C12">
        <w:rPr>
          <w:rFonts w:cs="Calibri"/>
        </w:rPr>
        <w:lastRenderedPageBreak/>
        <w:t>We believe that closing these gaps is essential to improving the effectiveness of RDRS for requestors (including law enforcement and IP rights holders) and contracted parties alike</w:t>
      </w:r>
      <w:r w:rsidR="00377353" w:rsidRPr="00EB3C12">
        <w:rPr>
          <w:rFonts w:cs="Calibri"/>
        </w:rPr>
        <w:t>.</w:t>
      </w:r>
    </w:p>
    <w:p w14:paraId="39137B3E" w14:textId="062BB51E" w:rsidR="001C0399" w:rsidRPr="00EB3C12" w:rsidRDefault="00A56159" w:rsidP="001C0399">
      <w:pPr>
        <w:rPr>
          <w:rFonts w:cs="Calibri"/>
        </w:rPr>
      </w:pPr>
      <w:r w:rsidRPr="00EB3C12">
        <w:rPr>
          <w:rFonts w:cs="Calibri"/>
        </w:rPr>
        <w:t>Specifically,</w:t>
      </w:r>
      <w:r w:rsidR="003D2379" w:rsidRPr="00EB3C12">
        <w:rPr>
          <w:rFonts w:cs="Calibri"/>
        </w:rPr>
        <w:t xml:space="preserve"> our concerns are</w:t>
      </w:r>
      <w:r w:rsidR="001C0399" w:rsidRPr="00EB3C12">
        <w:rPr>
          <w:rFonts w:cs="Calibri"/>
        </w:rPr>
        <w:t>:</w:t>
      </w:r>
    </w:p>
    <w:p w14:paraId="6DAC16F3" w14:textId="103B2918" w:rsidR="00EB2097" w:rsidRPr="00EB3C12" w:rsidRDefault="00EB2097" w:rsidP="00EB2097">
      <w:pPr>
        <w:pStyle w:val="ListParagraph"/>
        <w:numPr>
          <w:ilvl w:val="0"/>
          <w:numId w:val="6"/>
        </w:numPr>
        <w:rPr>
          <w:rFonts w:cs="Calibri"/>
          <w:b/>
          <w:bCs/>
        </w:rPr>
      </w:pPr>
      <w:r w:rsidRPr="00EB3C12">
        <w:rPr>
          <w:b/>
          <w:bCs/>
        </w:rPr>
        <w:t>Registrar Participation in RDRS</w:t>
      </w:r>
      <w:r w:rsidRPr="00EB3C12">
        <w:rPr>
          <w:b/>
          <w:bCs/>
        </w:rPr>
        <w:t xml:space="preserve"> needs to be Mandatory</w:t>
      </w:r>
    </w:p>
    <w:p w14:paraId="69549CDE" w14:textId="77777777" w:rsidR="007904EF" w:rsidRPr="00EB3C12" w:rsidRDefault="007904EF" w:rsidP="007904EF">
      <w:pPr>
        <w:pStyle w:val="ListParagraph"/>
        <w:numPr>
          <w:ilvl w:val="0"/>
          <w:numId w:val="7"/>
        </w:numPr>
        <w:spacing w:after="0" w:line="240" w:lineRule="auto"/>
        <w:rPr>
          <w:rFonts w:eastAsia="Times New Roman" w:cs="Calibri"/>
          <w:color w:val="212121"/>
          <w:kern w:val="0"/>
          <w:u w:val="single"/>
          <w14:ligatures w14:val="none"/>
        </w:rPr>
      </w:pPr>
      <w:r w:rsidRPr="00EB3C12">
        <w:t>Without universal adoption by registrars, the utility of a centralized request system is severely limited</w:t>
      </w:r>
      <w:r w:rsidRPr="00EB3C12">
        <w:t>.</w:t>
      </w:r>
    </w:p>
    <w:p w14:paraId="048C4FA7" w14:textId="14979AAE" w:rsidR="007904EF" w:rsidRPr="00EB3C12" w:rsidRDefault="007904EF" w:rsidP="007904EF">
      <w:pPr>
        <w:pStyle w:val="ListParagraph"/>
        <w:numPr>
          <w:ilvl w:val="0"/>
          <w:numId w:val="7"/>
        </w:numPr>
        <w:spacing w:after="0" w:line="240" w:lineRule="auto"/>
        <w:rPr>
          <w:rFonts w:eastAsia="Times New Roman" w:cs="Calibri"/>
          <w:color w:val="212121"/>
          <w:kern w:val="0"/>
          <w:u w:val="single"/>
          <w14:ligatures w14:val="none"/>
        </w:rPr>
      </w:pPr>
      <w:r w:rsidRPr="00EB3C12">
        <w:t>Legitimate</w:t>
      </w:r>
      <w:r w:rsidRPr="00EB3C12">
        <w:t xml:space="preserve"> requestors may not bother using RDRS if large registrars or whole regions are absent. </w:t>
      </w:r>
    </w:p>
    <w:p w14:paraId="65C819D2" w14:textId="286FA16B" w:rsidR="007904EF" w:rsidRPr="00EB3C12" w:rsidRDefault="007904EF" w:rsidP="007904EF">
      <w:pPr>
        <w:pStyle w:val="ListParagraph"/>
        <w:numPr>
          <w:ilvl w:val="0"/>
          <w:numId w:val="7"/>
        </w:numPr>
        <w:spacing w:after="0" w:line="240" w:lineRule="auto"/>
        <w:rPr>
          <w:rFonts w:eastAsia="Times New Roman" w:cs="Calibri"/>
          <w:color w:val="212121"/>
          <w:kern w:val="0"/>
          <w:u w:val="single"/>
          <w14:ligatures w14:val="none"/>
        </w:rPr>
      </w:pPr>
      <w:r w:rsidRPr="00EB3C12">
        <w:t xml:space="preserve">COA believes that </w:t>
      </w:r>
      <w:r w:rsidRPr="00EB3C12">
        <w:t xml:space="preserve">making RDRS </w:t>
      </w:r>
      <w:r w:rsidR="00806D7C" w:rsidRPr="00EB3C12">
        <w:t xml:space="preserve">participation </w:t>
      </w:r>
      <w:r w:rsidRPr="00EB3C12">
        <w:t xml:space="preserve">mandatory </w:t>
      </w:r>
      <w:r w:rsidR="00806D7C" w:rsidRPr="00EB3C12">
        <w:t xml:space="preserve">for registrars </w:t>
      </w:r>
      <w:r w:rsidRPr="00EB3C12">
        <w:t>is foundational to its success.</w:t>
      </w:r>
    </w:p>
    <w:p w14:paraId="2E2C46B1" w14:textId="77777777" w:rsidR="00237B51" w:rsidRPr="00EB3C12" w:rsidRDefault="00237B51" w:rsidP="00237B51">
      <w:pPr>
        <w:pStyle w:val="ListParagraph"/>
        <w:spacing w:after="0" w:line="240" w:lineRule="auto"/>
        <w:rPr>
          <w:rFonts w:eastAsia="Times New Roman" w:cs="Calibri"/>
          <w:color w:val="212121"/>
          <w:kern w:val="0"/>
          <w:u w:val="single"/>
          <w14:ligatures w14:val="none"/>
        </w:rPr>
      </w:pPr>
    </w:p>
    <w:p w14:paraId="61A58B9A" w14:textId="582F28AE" w:rsidR="003E387E" w:rsidRPr="00EB3C12" w:rsidRDefault="003E387E" w:rsidP="003D2379">
      <w:pPr>
        <w:pStyle w:val="ListParagraph"/>
        <w:numPr>
          <w:ilvl w:val="0"/>
          <w:numId w:val="6"/>
        </w:numPr>
        <w:spacing w:after="0" w:line="240" w:lineRule="auto"/>
        <w:rPr>
          <w:rFonts w:eastAsia="Times New Roman" w:cs="Calibri"/>
          <w:b/>
          <w:bCs/>
          <w:color w:val="212121"/>
          <w:kern w:val="0"/>
          <w:u w:val="single"/>
          <w14:ligatures w14:val="none"/>
        </w:rPr>
      </w:pPr>
      <w:r w:rsidRPr="00EB3C12">
        <w:rPr>
          <w:rFonts w:eastAsia="Times New Roman" w:cs="Calibri"/>
          <w:b/>
          <w:bCs/>
          <w:color w:val="212121"/>
          <w:kern w:val="0"/>
          <w:u w:val="single"/>
          <w14:ligatures w14:val="none"/>
        </w:rPr>
        <w:t>Timelines</w:t>
      </w:r>
      <w:r w:rsidR="001C0399" w:rsidRPr="00EB3C12">
        <w:rPr>
          <w:rFonts w:eastAsia="Times New Roman" w:cs="Calibri"/>
          <w:b/>
          <w:bCs/>
          <w:color w:val="212121"/>
          <w:kern w:val="0"/>
          <w:u w:val="single"/>
          <w14:ligatures w14:val="none"/>
        </w:rPr>
        <w:t xml:space="preserve"> need to be improved</w:t>
      </w:r>
    </w:p>
    <w:p w14:paraId="2F458EBD" w14:textId="77777777" w:rsidR="001C0399" w:rsidRPr="00EB3C12" w:rsidRDefault="001C0399" w:rsidP="003E387E">
      <w:pPr>
        <w:spacing w:after="0" w:line="240" w:lineRule="auto"/>
        <w:rPr>
          <w:rFonts w:eastAsia="Times New Roman" w:cs="Calibri"/>
          <w:color w:val="212121"/>
          <w:kern w:val="0"/>
          <w14:ligatures w14:val="none"/>
        </w:rPr>
      </w:pPr>
    </w:p>
    <w:p w14:paraId="26E9733B" w14:textId="77777777" w:rsidR="003E387E" w:rsidRPr="00EB3C12" w:rsidRDefault="003E387E" w:rsidP="003E387E">
      <w:pPr>
        <w:numPr>
          <w:ilvl w:val="0"/>
          <w:numId w:val="1"/>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Compliance by registrars and registry operators with timelines should be improved.</w:t>
      </w:r>
    </w:p>
    <w:p w14:paraId="64F66191" w14:textId="77777777" w:rsidR="003E387E" w:rsidRPr="00EB3C12" w:rsidRDefault="003E387E" w:rsidP="003E387E">
      <w:pPr>
        <w:numPr>
          <w:ilvl w:val="0"/>
          <w:numId w:val="1"/>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ICANN’s Registration Data Policy requires registrars and registry operators to respond to disclosure requests “without undue delay, but no more than thirty (30) calendar days from acknowledgement absent exceptional circumstances”. (</w:t>
      </w:r>
      <w:hyperlink r:id="rId12" w:tooltip="https://www.icann.org/en/system/files/files/registration-data-policy-faqs-21aug25-en.pdf" w:history="1">
        <w:r w:rsidRPr="00EB3C12">
          <w:rPr>
            <w:rFonts w:eastAsia="Times New Roman" w:cs="Calibri"/>
            <w:color w:val="800080"/>
            <w:kern w:val="0"/>
            <w:u w:val="single"/>
            <w14:ligatures w14:val="none"/>
          </w:rPr>
          <w:t>https://www.icann.org/en/system/files/files/registration-data-policy-faqs-21aug25-en.pdf</w:t>
        </w:r>
      </w:hyperlink>
      <w:r w:rsidRPr="00EB3C12">
        <w:rPr>
          <w:rFonts w:eastAsia="Times New Roman" w:cs="Calibri"/>
          <w:color w:val="212121"/>
          <w:kern w:val="0"/>
          <w14:ligatures w14:val="none"/>
        </w:rPr>
        <w:t>).</w:t>
      </w:r>
    </w:p>
    <w:p w14:paraId="5B09EE49" w14:textId="646D3654" w:rsidR="003E387E" w:rsidRPr="00EB3C12" w:rsidRDefault="003E387E" w:rsidP="003E387E">
      <w:pPr>
        <w:numPr>
          <w:ilvl w:val="0"/>
          <w:numId w:val="1"/>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As a recent example, the M</w:t>
      </w:r>
      <w:r w:rsidR="008B15F3" w:rsidRPr="00EB3C12">
        <w:rPr>
          <w:rFonts w:eastAsia="Times New Roman" w:cs="Calibri"/>
          <w:color w:val="212121"/>
          <w:kern w:val="0"/>
          <w14:ligatures w14:val="none"/>
        </w:rPr>
        <w:t>otion Picture Association (M</w:t>
      </w:r>
      <w:r w:rsidRPr="00EB3C12">
        <w:rPr>
          <w:rFonts w:eastAsia="Times New Roman" w:cs="Calibri"/>
          <w:color w:val="212121"/>
          <w:kern w:val="0"/>
          <w14:ligatures w14:val="none"/>
        </w:rPr>
        <w:t>PA</w:t>
      </w:r>
      <w:r w:rsidR="008B15F3" w:rsidRPr="00EB3C12">
        <w:rPr>
          <w:rFonts w:eastAsia="Times New Roman" w:cs="Calibri"/>
          <w:color w:val="212121"/>
          <w:kern w:val="0"/>
          <w14:ligatures w14:val="none"/>
        </w:rPr>
        <w:t>)</w:t>
      </w:r>
      <w:r w:rsidRPr="00EB3C12">
        <w:rPr>
          <w:rFonts w:eastAsia="Times New Roman" w:cs="Calibri"/>
          <w:color w:val="212121"/>
          <w:kern w:val="0"/>
          <w14:ligatures w14:val="none"/>
        </w:rPr>
        <w:t xml:space="preserve"> submitted a disclosure request to GoDaddy on 29 July 2025 but received a response only on 3 October 2025, and only after following up with</w:t>
      </w:r>
      <w:r w:rsidR="008B15F3" w:rsidRPr="00EB3C12">
        <w:rPr>
          <w:rFonts w:eastAsia="Times New Roman" w:cs="Calibri"/>
          <w:color w:val="212121"/>
          <w:kern w:val="0"/>
          <w14:ligatures w14:val="none"/>
        </w:rPr>
        <w:t xml:space="preserve"> </w:t>
      </w:r>
      <w:r w:rsidRPr="00EB3C12">
        <w:rPr>
          <w:rFonts w:eastAsia="Times New Roman" w:cs="Calibri"/>
          <w:color w:val="212121"/>
          <w:kern w:val="0"/>
          <w14:ligatures w14:val="none"/>
        </w:rPr>
        <w:t>ICANN.</w:t>
      </w:r>
    </w:p>
    <w:p w14:paraId="270754F7" w14:textId="77777777" w:rsidR="003E387E" w:rsidRPr="00EB3C12" w:rsidRDefault="003E387E" w:rsidP="003E387E">
      <w:pPr>
        <w:numPr>
          <w:ilvl w:val="0"/>
          <w:numId w:val="1"/>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The unexplained delay of over two months underscores the need for clearer adherence to response timelines.</w:t>
      </w:r>
    </w:p>
    <w:p w14:paraId="5F535787" w14:textId="77777777" w:rsidR="003E387E" w:rsidRPr="00EB3C12" w:rsidRDefault="003E387E" w:rsidP="003E387E">
      <w:pPr>
        <w:numPr>
          <w:ilvl w:val="0"/>
          <w:numId w:val="1"/>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Timely processing of disclosure requests is critical to enable prompt action against large-scale IP infringement. </w:t>
      </w:r>
    </w:p>
    <w:p w14:paraId="1B51C10B" w14:textId="24310D6E" w:rsidR="003E387E" w:rsidRPr="00EB3C12" w:rsidRDefault="003E387E" w:rsidP="003E387E">
      <w:pPr>
        <w:numPr>
          <w:ilvl w:val="0"/>
          <w:numId w:val="1"/>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ICANN</w:t>
      </w:r>
      <w:r w:rsidR="00981581">
        <w:rPr>
          <w:rFonts w:eastAsia="Times New Roman" w:cs="Calibri"/>
          <w:color w:val="212121"/>
          <w:kern w:val="0"/>
          <w14:ligatures w14:val="none"/>
        </w:rPr>
        <w:t xml:space="preserve"> </w:t>
      </w:r>
      <w:r w:rsidRPr="00EB3C12">
        <w:rPr>
          <w:rFonts w:eastAsia="Times New Roman" w:cs="Calibri"/>
          <w:color w:val="212121"/>
          <w:kern w:val="0"/>
          <w14:ligatures w14:val="none"/>
        </w:rPr>
        <w:t>could exercise greater oversight of the process, for example, by implementing a tracking mechanism to monitor requests that have not received responses within the prescribed timeframe. This would help identify systemic delays and improve accountability.</w:t>
      </w:r>
    </w:p>
    <w:p w14:paraId="2A678529" w14:textId="2943BDDA" w:rsidR="003E387E" w:rsidRPr="00EB3C12" w:rsidRDefault="003E387E" w:rsidP="003E387E">
      <w:pPr>
        <w:spacing w:after="0" w:line="240" w:lineRule="auto"/>
        <w:ind w:left="720"/>
        <w:rPr>
          <w:rFonts w:eastAsia="Times New Roman" w:cs="Calibri"/>
          <w:color w:val="212121"/>
          <w:kern w:val="0"/>
          <w14:ligatures w14:val="none"/>
        </w:rPr>
      </w:pPr>
    </w:p>
    <w:p w14:paraId="606C3848" w14:textId="47C9C89A" w:rsidR="003E387E" w:rsidRPr="00EB3C12" w:rsidRDefault="003E387E" w:rsidP="003D2379">
      <w:pPr>
        <w:pStyle w:val="ListParagraph"/>
        <w:numPr>
          <w:ilvl w:val="0"/>
          <w:numId w:val="6"/>
        </w:numPr>
        <w:spacing w:after="0" w:line="240" w:lineRule="auto"/>
        <w:rPr>
          <w:rFonts w:eastAsia="Times New Roman" w:cs="Calibri"/>
          <w:b/>
          <w:bCs/>
          <w:color w:val="212121"/>
          <w:kern w:val="0"/>
          <w:u w:val="single"/>
          <w14:ligatures w14:val="none"/>
        </w:rPr>
      </w:pPr>
      <w:r w:rsidRPr="00EB3C12">
        <w:rPr>
          <w:rFonts w:eastAsia="Times New Roman" w:cs="Calibri"/>
          <w:b/>
          <w:bCs/>
          <w:color w:val="212121"/>
          <w:kern w:val="0"/>
          <w:u w:val="single"/>
          <w14:ligatures w14:val="none"/>
        </w:rPr>
        <w:t>Transparency</w:t>
      </w:r>
      <w:r w:rsidR="001C0399" w:rsidRPr="00EB3C12">
        <w:rPr>
          <w:rFonts w:eastAsia="Times New Roman" w:cs="Calibri"/>
          <w:b/>
          <w:bCs/>
          <w:color w:val="212121"/>
          <w:kern w:val="0"/>
          <w:u w:val="single"/>
          <w14:ligatures w14:val="none"/>
        </w:rPr>
        <w:t xml:space="preserve"> needs to be increased</w:t>
      </w:r>
    </w:p>
    <w:p w14:paraId="4534684E" w14:textId="77777777" w:rsidR="001C0399" w:rsidRPr="00EB3C12" w:rsidRDefault="001C0399" w:rsidP="003E387E">
      <w:pPr>
        <w:spacing w:after="0" w:line="240" w:lineRule="auto"/>
        <w:rPr>
          <w:rFonts w:eastAsia="Times New Roman" w:cs="Calibri"/>
          <w:color w:val="212121"/>
          <w:kern w:val="0"/>
          <w14:ligatures w14:val="none"/>
        </w:rPr>
      </w:pPr>
    </w:p>
    <w:p w14:paraId="32B7F973" w14:textId="77777777" w:rsidR="003E387E" w:rsidRPr="00EB3C12" w:rsidRDefault="003E387E" w:rsidP="003E387E">
      <w:pPr>
        <w:numPr>
          <w:ilvl w:val="0"/>
          <w:numId w:val="2"/>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Registrars should be required to provide clear and specific reasons when denying a disclosure request.</w:t>
      </w:r>
    </w:p>
    <w:p w14:paraId="56E97BB4" w14:textId="23DF27AE" w:rsidR="003E387E" w:rsidRPr="00EB3C12" w:rsidRDefault="003E387E" w:rsidP="003E387E">
      <w:pPr>
        <w:numPr>
          <w:ilvl w:val="0"/>
          <w:numId w:val="2"/>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 xml:space="preserve">In one case, </w:t>
      </w:r>
      <w:r w:rsidR="008B15F3" w:rsidRPr="00EB3C12">
        <w:rPr>
          <w:rFonts w:eastAsia="Times New Roman" w:cs="Calibri"/>
          <w:color w:val="212121"/>
          <w:kern w:val="0"/>
          <w14:ligatures w14:val="none"/>
        </w:rPr>
        <w:t xml:space="preserve">a </w:t>
      </w:r>
      <w:r w:rsidRPr="00EB3C12">
        <w:rPr>
          <w:rFonts w:eastAsia="Times New Roman" w:cs="Calibri"/>
          <w:color w:val="212121"/>
          <w:kern w:val="0"/>
          <w14:ligatures w14:val="none"/>
        </w:rPr>
        <w:t xml:space="preserve">request </w:t>
      </w:r>
      <w:r w:rsidR="008B15F3" w:rsidRPr="00EB3C12">
        <w:rPr>
          <w:rFonts w:eastAsia="Times New Roman" w:cs="Calibri"/>
          <w:color w:val="212121"/>
          <w:kern w:val="0"/>
          <w14:ligatures w14:val="none"/>
        </w:rPr>
        <w:t xml:space="preserve">made by MPA </w:t>
      </w:r>
      <w:r w:rsidRPr="00EB3C12">
        <w:rPr>
          <w:rFonts w:eastAsia="Times New Roman" w:cs="Calibri"/>
          <w:color w:val="212121"/>
          <w:kern w:val="0"/>
          <w14:ligatures w14:val="none"/>
        </w:rPr>
        <w:t>was rejected with the reason that “</w:t>
      </w:r>
      <w:r w:rsidRPr="00EB3C12">
        <w:rPr>
          <w:rFonts w:eastAsia="Times New Roman" w:cs="Calibri"/>
          <w:i/>
          <w:iCs/>
          <w:color w:val="212121"/>
          <w:kern w:val="0"/>
          <w14:ligatures w14:val="none"/>
        </w:rPr>
        <w:t>other corrective action is required before request can be processed</w:t>
      </w:r>
      <w:r w:rsidRPr="00EB3C12">
        <w:rPr>
          <w:rFonts w:eastAsia="Times New Roman" w:cs="Calibri"/>
          <w:color w:val="212121"/>
          <w:kern w:val="0"/>
          <w14:ligatures w14:val="none"/>
        </w:rPr>
        <w:t>”, without outlining what “</w:t>
      </w:r>
      <w:r w:rsidRPr="00EB3C12">
        <w:rPr>
          <w:rFonts w:eastAsia="Times New Roman" w:cs="Calibri"/>
          <w:i/>
          <w:iCs/>
          <w:color w:val="212121"/>
          <w:kern w:val="0"/>
          <w14:ligatures w14:val="none"/>
        </w:rPr>
        <w:t>corrective action</w:t>
      </w:r>
      <w:r w:rsidRPr="00EB3C12">
        <w:rPr>
          <w:rFonts w:eastAsia="Times New Roman" w:cs="Calibri"/>
          <w:color w:val="212121"/>
          <w:kern w:val="0"/>
          <w14:ligatures w14:val="none"/>
        </w:rPr>
        <w:t>” was needed.</w:t>
      </w:r>
    </w:p>
    <w:p w14:paraId="563B9ACE" w14:textId="77777777" w:rsidR="003E387E" w:rsidRPr="00EB3C12" w:rsidRDefault="003E387E" w:rsidP="003E387E">
      <w:pPr>
        <w:numPr>
          <w:ilvl w:val="0"/>
          <w:numId w:val="2"/>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The explanation also appeared to use boilerplate text and did not acknowledge that a subpoena had been provided as supporting documentation.</w:t>
      </w:r>
    </w:p>
    <w:p w14:paraId="47AEB8B0" w14:textId="77777777" w:rsidR="003E387E" w:rsidRPr="00EB3C12" w:rsidRDefault="003E387E" w:rsidP="003E387E">
      <w:pPr>
        <w:numPr>
          <w:ilvl w:val="0"/>
          <w:numId w:val="2"/>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Requiring detailed explanations would help requesters better understand the basis for decisions and facilitate constructive engagement with registrars. </w:t>
      </w:r>
    </w:p>
    <w:p w14:paraId="14F00857" w14:textId="77777777" w:rsidR="003E387E" w:rsidRPr="00EB3C12" w:rsidRDefault="003E387E" w:rsidP="003E387E">
      <w:pPr>
        <w:numPr>
          <w:ilvl w:val="0"/>
          <w:numId w:val="2"/>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lastRenderedPageBreak/>
        <w:t>Greater transparency would also improve accountability and consistency in the application of disclosure criteria across registrars.</w:t>
      </w:r>
    </w:p>
    <w:p w14:paraId="577CA142" w14:textId="77777777" w:rsidR="003E387E" w:rsidRPr="00EB3C12" w:rsidRDefault="003E387E" w:rsidP="003E387E">
      <w:pPr>
        <w:numPr>
          <w:ilvl w:val="0"/>
          <w:numId w:val="2"/>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ICANN could play an important role in the process by evaluating the reasonableness and adequacy of the reasons provided by the registrar. Absent such an oversight mechanism, there is little incentive for registrars to make efforts to respond to requests under the RDRS.  </w:t>
      </w:r>
    </w:p>
    <w:p w14:paraId="0E30EE1E" w14:textId="77777777" w:rsidR="0076585A" w:rsidRPr="00EB3C12" w:rsidRDefault="0076585A" w:rsidP="0076585A">
      <w:pPr>
        <w:spacing w:after="0" w:line="240" w:lineRule="auto"/>
        <w:rPr>
          <w:rFonts w:eastAsia="Times New Roman" w:cs="Calibri"/>
          <w:color w:val="212121"/>
          <w:kern w:val="0"/>
          <w14:ligatures w14:val="none"/>
        </w:rPr>
      </w:pPr>
    </w:p>
    <w:p w14:paraId="63434EE5" w14:textId="6586F83B" w:rsidR="003E387E" w:rsidRPr="00EB3C12" w:rsidRDefault="00906492" w:rsidP="003D2379">
      <w:pPr>
        <w:pStyle w:val="ListParagraph"/>
        <w:numPr>
          <w:ilvl w:val="0"/>
          <w:numId w:val="6"/>
        </w:numPr>
        <w:spacing w:after="0" w:line="240" w:lineRule="auto"/>
        <w:rPr>
          <w:rFonts w:eastAsia="Times New Roman" w:cs="Calibri"/>
          <w:b/>
          <w:bCs/>
          <w:color w:val="212121"/>
          <w:kern w:val="0"/>
          <w:u w:val="single"/>
          <w14:ligatures w14:val="none"/>
        </w:rPr>
      </w:pPr>
      <w:r w:rsidRPr="00EB3C12">
        <w:rPr>
          <w:rFonts w:eastAsia="Times New Roman" w:cs="Calibri"/>
          <w:b/>
          <w:bCs/>
          <w:color w:val="212121"/>
          <w:kern w:val="0"/>
          <w:u w:val="single"/>
          <w14:ligatures w14:val="none"/>
        </w:rPr>
        <w:t xml:space="preserve">Authorized Requestor </w:t>
      </w:r>
      <w:r w:rsidR="003E387E" w:rsidRPr="00EB3C12">
        <w:rPr>
          <w:rFonts w:eastAsia="Times New Roman" w:cs="Calibri"/>
          <w:b/>
          <w:bCs/>
          <w:color w:val="212121"/>
          <w:kern w:val="0"/>
          <w:u w:val="single"/>
          <w14:ligatures w14:val="none"/>
        </w:rPr>
        <w:t>status</w:t>
      </w:r>
      <w:r w:rsidR="001C0399" w:rsidRPr="00EB3C12">
        <w:rPr>
          <w:rFonts w:eastAsia="Times New Roman" w:cs="Calibri"/>
          <w:b/>
          <w:bCs/>
          <w:color w:val="212121"/>
          <w:kern w:val="0"/>
          <w:u w:val="single"/>
          <w14:ligatures w14:val="none"/>
        </w:rPr>
        <w:t xml:space="preserve"> should be incorporated</w:t>
      </w:r>
      <w:r w:rsidRPr="00EB3C12">
        <w:rPr>
          <w:color w:val="212121"/>
        </w:rPr>
        <w:t>:</w:t>
      </w:r>
    </w:p>
    <w:p w14:paraId="339715CE" w14:textId="77777777" w:rsidR="001C0399" w:rsidRPr="00EB3C12" w:rsidRDefault="001C0399" w:rsidP="003E387E">
      <w:pPr>
        <w:spacing w:after="0" w:line="240" w:lineRule="auto"/>
        <w:rPr>
          <w:rFonts w:eastAsia="Times New Roman" w:cs="Calibri"/>
          <w:color w:val="212121"/>
          <w:kern w:val="0"/>
          <w14:ligatures w14:val="none"/>
        </w:rPr>
      </w:pPr>
    </w:p>
    <w:p w14:paraId="283692F1" w14:textId="444CD99A" w:rsidR="003E387E" w:rsidRPr="00EB3C12" w:rsidRDefault="003E387E" w:rsidP="003E387E">
      <w:pPr>
        <w:numPr>
          <w:ilvl w:val="0"/>
          <w:numId w:val="3"/>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ICANN</w:t>
      </w:r>
      <w:r w:rsidR="008B15F3" w:rsidRPr="00EB3C12">
        <w:rPr>
          <w:rFonts w:eastAsia="Times New Roman" w:cs="Calibri"/>
          <w:color w:val="212121"/>
          <w:kern w:val="0"/>
          <w14:ligatures w14:val="none"/>
        </w:rPr>
        <w:t xml:space="preserve"> </w:t>
      </w:r>
      <w:r w:rsidRPr="00EB3C12">
        <w:rPr>
          <w:rFonts w:eastAsia="Times New Roman" w:cs="Calibri"/>
          <w:color w:val="212121"/>
          <w:kern w:val="0"/>
          <w14:ligatures w14:val="none"/>
        </w:rPr>
        <w:t>should consider introducing a</w:t>
      </w:r>
      <w:r w:rsidR="00BE7859" w:rsidRPr="00EB3C12">
        <w:rPr>
          <w:rFonts w:eastAsia="Times New Roman" w:cs="Calibri"/>
          <w:color w:val="212121"/>
          <w:kern w:val="0"/>
          <w14:ligatures w14:val="none"/>
        </w:rPr>
        <w:t>n</w:t>
      </w:r>
      <w:r w:rsidRPr="00EB3C12">
        <w:rPr>
          <w:rFonts w:eastAsia="Times New Roman" w:cs="Calibri"/>
          <w:color w:val="212121"/>
          <w:kern w:val="0"/>
          <w14:ligatures w14:val="none"/>
        </w:rPr>
        <w:t xml:space="preserve"> </w:t>
      </w:r>
      <w:r w:rsidR="00906492" w:rsidRPr="00EB3C12">
        <w:rPr>
          <w:rFonts w:eastAsia="Times New Roman" w:cs="Calibri"/>
          <w:color w:val="212121"/>
          <w:kern w:val="0"/>
          <w14:ligatures w14:val="none"/>
        </w:rPr>
        <w:t xml:space="preserve">Authorized </w:t>
      </w:r>
      <w:r w:rsidR="00BE7859" w:rsidRPr="00EB3C12">
        <w:rPr>
          <w:rFonts w:eastAsia="Times New Roman" w:cs="Calibri"/>
          <w:color w:val="212121"/>
          <w:kern w:val="0"/>
          <w14:ligatures w14:val="none"/>
        </w:rPr>
        <w:t>Requestor (aka Trusted</w:t>
      </w:r>
      <w:r w:rsidR="00BB1584" w:rsidRPr="00EB3C12">
        <w:rPr>
          <w:rFonts w:eastAsia="Times New Roman" w:cs="Calibri"/>
          <w:color w:val="212121"/>
          <w:kern w:val="0"/>
          <w14:ligatures w14:val="none"/>
        </w:rPr>
        <w:t xml:space="preserve"> Requestor or Trusted </w:t>
      </w:r>
      <w:r w:rsidR="00BE7859" w:rsidRPr="00EB3C12">
        <w:rPr>
          <w:rFonts w:eastAsia="Times New Roman" w:cs="Calibri"/>
          <w:color w:val="212121"/>
          <w:kern w:val="0"/>
          <w14:ligatures w14:val="none"/>
        </w:rPr>
        <w:t>Flagger)</w:t>
      </w:r>
      <w:r w:rsidR="001C0399" w:rsidRPr="00EB3C12">
        <w:rPr>
          <w:rFonts w:eastAsia="Times New Roman" w:cs="Calibri"/>
          <w:color w:val="212121"/>
          <w:kern w:val="0"/>
          <w14:ligatures w14:val="none"/>
        </w:rPr>
        <w:t xml:space="preserve"> </w:t>
      </w:r>
      <w:r w:rsidRPr="00EB3C12">
        <w:rPr>
          <w:rFonts w:eastAsia="Times New Roman" w:cs="Calibri"/>
          <w:color w:val="212121"/>
          <w:kern w:val="0"/>
          <w14:ligatures w14:val="none"/>
        </w:rPr>
        <w:t xml:space="preserve">framework for vetted and verified entities with a proven track record of lawful reporting of abuse or </w:t>
      </w:r>
      <w:r w:rsidRPr="00EB3C12">
        <w:rPr>
          <w:rFonts w:eastAsia="Times New Roman" w:cs="Calibri"/>
          <w:color w:val="212121"/>
          <w:kern w:val="0"/>
          <w14:ligatures w14:val="none"/>
        </w:rPr>
        <w:t>infringement.</w:t>
      </w:r>
    </w:p>
    <w:p w14:paraId="50AFE2AB" w14:textId="54DD3EBF" w:rsidR="003E387E" w:rsidRPr="00EB3C12" w:rsidRDefault="00BC75BB" w:rsidP="003E387E">
      <w:pPr>
        <w:numPr>
          <w:ilvl w:val="0"/>
          <w:numId w:val="3"/>
        </w:numPr>
        <w:spacing w:after="0" w:line="240" w:lineRule="auto"/>
        <w:rPr>
          <w:rFonts w:eastAsia="Times New Roman" w:cs="Calibri"/>
          <w:color w:val="212121"/>
          <w:kern w:val="0"/>
          <w14:ligatures w14:val="none"/>
        </w:rPr>
      </w:pPr>
      <w:r w:rsidRPr="00EB3C12">
        <w:rPr>
          <w:color w:val="212121"/>
        </w:rPr>
        <w:t xml:space="preserve">Authorized Requestors </w:t>
      </w:r>
      <w:r w:rsidR="003E387E" w:rsidRPr="00EB3C12">
        <w:rPr>
          <w:rFonts w:eastAsia="Times New Roman" w:cs="Calibri"/>
          <w:color w:val="212121"/>
          <w:kern w:val="0"/>
          <w14:ligatures w14:val="none"/>
        </w:rPr>
        <w:t>should receive expedited or priority handling for disclosure requests for non-public WHOIS data via RDRS.</w:t>
      </w:r>
    </w:p>
    <w:p w14:paraId="0697A007" w14:textId="08B8FD6E" w:rsidR="003E387E" w:rsidRPr="00EB3C12" w:rsidRDefault="003E387E" w:rsidP="003E387E">
      <w:pPr>
        <w:numPr>
          <w:ilvl w:val="0"/>
          <w:numId w:val="3"/>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 xml:space="preserve">This system would streamline registrar review processes, as </w:t>
      </w:r>
      <w:r w:rsidR="00C9249A" w:rsidRPr="00EB3C12">
        <w:rPr>
          <w:rFonts w:eastAsia="Times New Roman" w:cs="Calibri"/>
          <w:color w:val="212121"/>
          <w:kern w:val="0"/>
          <w14:ligatures w14:val="none"/>
        </w:rPr>
        <w:t xml:space="preserve">an </w:t>
      </w:r>
      <w:r w:rsidR="00BE7859" w:rsidRPr="00EB3C12">
        <w:rPr>
          <w:color w:val="212121"/>
        </w:rPr>
        <w:t xml:space="preserve">Authorized Requestor </w:t>
      </w:r>
      <w:r w:rsidRPr="00EB3C12">
        <w:rPr>
          <w:rFonts w:eastAsia="Times New Roman" w:cs="Calibri"/>
          <w:color w:val="212121"/>
          <w:kern w:val="0"/>
          <w14:ligatures w14:val="none"/>
        </w:rPr>
        <w:t xml:space="preserve">would be pre-vetted and follow standardized submission </w:t>
      </w:r>
      <w:r w:rsidRPr="00EB3C12">
        <w:rPr>
          <w:rFonts w:eastAsia="Times New Roman" w:cs="Calibri"/>
          <w:color w:val="212121"/>
          <w:kern w:val="0"/>
          <w14:ligatures w14:val="none"/>
        </w:rPr>
        <w:t>protocols.</w:t>
      </w:r>
    </w:p>
    <w:p w14:paraId="7E2FC42D" w14:textId="61328BEB" w:rsidR="004F049C" w:rsidRPr="00EB3C12" w:rsidRDefault="003E387E" w:rsidP="00377353">
      <w:pPr>
        <w:numPr>
          <w:ilvl w:val="0"/>
          <w:numId w:val="3"/>
        </w:numPr>
        <w:spacing w:after="0" w:line="240" w:lineRule="auto"/>
        <w:rPr>
          <w:rFonts w:eastAsia="Times New Roman" w:cs="Calibri"/>
          <w:color w:val="212121"/>
          <w:kern w:val="0"/>
          <w14:ligatures w14:val="none"/>
        </w:rPr>
      </w:pPr>
      <w:r w:rsidRPr="00EB3C12">
        <w:rPr>
          <w:rFonts w:eastAsia="Times New Roman" w:cs="Calibri"/>
          <w:color w:val="212121"/>
          <w:kern w:val="0"/>
          <w14:ligatures w14:val="none"/>
        </w:rPr>
        <w:t>This would also enhance responsiveness to legitimate requests and strengthen</w:t>
      </w:r>
      <w:r w:rsidR="008B15F3" w:rsidRPr="00EB3C12">
        <w:rPr>
          <w:rFonts w:eastAsia="Times New Roman" w:cs="Calibri"/>
          <w:color w:val="212121"/>
          <w:kern w:val="0"/>
          <w14:ligatures w14:val="none"/>
        </w:rPr>
        <w:t xml:space="preserve"> </w:t>
      </w:r>
      <w:r w:rsidRPr="00EB3C12">
        <w:rPr>
          <w:rFonts w:eastAsia="Times New Roman" w:cs="Calibri"/>
          <w:color w:val="212121"/>
          <w:kern w:val="0"/>
          <w14:ligatures w14:val="none"/>
        </w:rPr>
        <w:t>ICANN’s commitment to protecting the public interest while upholding privacy and due process safeguards.</w:t>
      </w:r>
    </w:p>
    <w:p w14:paraId="4BF581CF" w14:textId="77777777" w:rsidR="00A479C9" w:rsidRPr="00EB3C12" w:rsidRDefault="00A479C9" w:rsidP="00CC5D6C">
      <w:pPr>
        <w:spacing w:after="0" w:line="240" w:lineRule="auto"/>
        <w:rPr>
          <w:rFonts w:eastAsia="Times New Roman" w:cs="Calibri"/>
          <w:color w:val="212121"/>
          <w:kern w:val="0"/>
          <w14:ligatures w14:val="none"/>
        </w:rPr>
      </w:pPr>
    </w:p>
    <w:p w14:paraId="455D6595" w14:textId="77777777" w:rsidR="008E428C" w:rsidRPr="00EB3C12" w:rsidRDefault="00CC5D6C" w:rsidP="008E428C">
      <w:pPr>
        <w:rPr>
          <w:rFonts w:cs="Calibri"/>
        </w:rPr>
      </w:pPr>
      <w:r w:rsidRPr="00EB3C12">
        <w:rPr>
          <w:rFonts w:cs="Calibri"/>
        </w:rPr>
        <w:t xml:space="preserve">As noted above, COA </w:t>
      </w:r>
      <w:r w:rsidR="008B15F3" w:rsidRPr="00EB3C12">
        <w:rPr>
          <w:rFonts w:cs="Calibri"/>
        </w:rPr>
        <w:t xml:space="preserve">is a member of the IPC and </w:t>
      </w:r>
      <w:r w:rsidRPr="00EB3C12">
        <w:rPr>
          <w:rFonts w:cs="Calibri"/>
        </w:rPr>
        <w:t>fully supports the recommendations made by the IPC in its comments</w:t>
      </w:r>
      <w:r w:rsidR="008B15F3" w:rsidRPr="00EB3C12">
        <w:rPr>
          <w:rFonts w:cs="Calibri"/>
        </w:rPr>
        <w:t>. I</w:t>
      </w:r>
      <w:r w:rsidRPr="00EB3C12">
        <w:rPr>
          <w:rFonts w:cs="Calibri"/>
        </w:rPr>
        <w:t xml:space="preserve">n particular we would reiterate the importance to the IP and copyright holder community, </w:t>
      </w:r>
      <w:r w:rsidR="003D2379" w:rsidRPr="00EB3C12">
        <w:rPr>
          <w:rFonts w:cs="Calibri"/>
        </w:rPr>
        <w:t xml:space="preserve">as </w:t>
      </w:r>
      <w:r w:rsidRPr="00EB3C12">
        <w:rPr>
          <w:rFonts w:cs="Calibri"/>
        </w:rPr>
        <w:t>represented by the members of COA</w:t>
      </w:r>
      <w:r w:rsidR="008B15F3" w:rsidRPr="00EB3C12">
        <w:rPr>
          <w:rFonts w:cs="Calibri"/>
        </w:rPr>
        <w:t>,</w:t>
      </w:r>
      <w:r w:rsidRPr="00EB3C12">
        <w:rPr>
          <w:rFonts w:cs="Calibri"/>
        </w:rPr>
        <w:t xml:space="preserve"> of the following</w:t>
      </w:r>
      <w:r w:rsidR="001C0399" w:rsidRPr="00EB3C12">
        <w:rPr>
          <w:rFonts w:cs="Calibri"/>
        </w:rPr>
        <w:t xml:space="preserve"> </w:t>
      </w:r>
      <w:r w:rsidR="000A21B6" w:rsidRPr="00EB3C12">
        <w:rPr>
          <w:rFonts w:cs="Calibri"/>
        </w:rPr>
        <w:t>r</w:t>
      </w:r>
      <w:r w:rsidR="001C0399" w:rsidRPr="00EB3C12">
        <w:rPr>
          <w:rFonts w:cs="Calibri"/>
        </w:rPr>
        <w:t>ecommendations</w:t>
      </w:r>
      <w:r w:rsidR="003D2379" w:rsidRPr="00EB3C12">
        <w:rPr>
          <w:rFonts w:cs="Calibri"/>
        </w:rPr>
        <w:t xml:space="preserve"> </w:t>
      </w:r>
      <w:r w:rsidR="000A21B6" w:rsidRPr="00EB3C12">
        <w:rPr>
          <w:rFonts w:cs="Calibri"/>
        </w:rPr>
        <w:t xml:space="preserve">made by IPC </w:t>
      </w:r>
      <w:r w:rsidR="003D2379" w:rsidRPr="00EB3C12">
        <w:rPr>
          <w:rFonts w:cs="Calibri"/>
        </w:rPr>
        <w:t xml:space="preserve">that </w:t>
      </w:r>
      <w:r w:rsidR="000A21B6" w:rsidRPr="00EB3C12">
        <w:rPr>
          <w:rFonts w:cs="Calibri"/>
        </w:rPr>
        <w:t xml:space="preserve">directly </w:t>
      </w:r>
      <w:r w:rsidR="003D2379" w:rsidRPr="00EB3C12">
        <w:rPr>
          <w:rFonts w:cs="Calibri"/>
        </w:rPr>
        <w:t xml:space="preserve">address </w:t>
      </w:r>
      <w:r w:rsidR="000A21B6" w:rsidRPr="00EB3C12">
        <w:rPr>
          <w:rFonts w:cs="Calibri"/>
        </w:rPr>
        <w:t>COA’s</w:t>
      </w:r>
      <w:r w:rsidR="003D2379" w:rsidRPr="00EB3C12">
        <w:rPr>
          <w:rFonts w:cs="Calibri"/>
        </w:rPr>
        <w:t xml:space="preserve"> above concerns.</w:t>
      </w:r>
    </w:p>
    <w:bookmarkEnd w:id="0"/>
    <w:p w14:paraId="740867B6" w14:textId="77777777" w:rsidR="008E428C" w:rsidRPr="00EB3C12" w:rsidRDefault="008E428C" w:rsidP="008E428C">
      <w:pPr>
        <w:rPr>
          <w:rFonts w:cs="Calibri"/>
        </w:rPr>
      </w:pPr>
    </w:p>
    <w:p w14:paraId="4A75EE85" w14:textId="2B0EDB86" w:rsidR="00AF0933" w:rsidRPr="00EB3C12" w:rsidRDefault="00AF0933" w:rsidP="008E428C">
      <w:pPr>
        <w:pStyle w:val="ListParagraph"/>
        <w:numPr>
          <w:ilvl w:val="0"/>
          <w:numId w:val="7"/>
        </w:numPr>
        <w:rPr>
          <w:rFonts w:cs="Calibri"/>
        </w:rPr>
      </w:pPr>
      <w:r w:rsidRPr="00EB3C12">
        <w:rPr>
          <w:b/>
          <w:bCs/>
        </w:rPr>
        <w:t>Mandatory Registrar Participation in RDRS</w:t>
      </w:r>
    </w:p>
    <w:p w14:paraId="294C3ADC" w14:textId="7597498E" w:rsidR="00AF0933" w:rsidRPr="00EB3C12" w:rsidRDefault="00AF0933" w:rsidP="00AF0933">
      <w:r w:rsidRPr="00EB3C12">
        <w:t xml:space="preserve">The RDRS pilot is currently voluntary for registrars, meaning many ICANN-accredited gTLD registrars chose not to participate. This optional participation has contributed to low usage by requestors and an uneven experience, as noted by the RDRS Standing Committee’s findings. The Board’s analysis emphasizes “mandatory registrar participation” as a key component for any long-term disclosure system. Without universal adoption by registrars, the utility of a centralized request system is severely limited – legitimate requestors may not bother using RDRS if large registrars or whole regions are absent. </w:t>
      </w:r>
      <w:r w:rsidR="00806D7C" w:rsidRPr="00EB3C12">
        <w:t>M</w:t>
      </w:r>
      <w:r w:rsidRPr="00EB3C12">
        <w:t>aking RDRS (or its successor) mandatory is foundational to its success.</w:t>
      </w:r>
    </w:p>
    <w:p w14:paraId="1AFF2D34" w14:textId="32DCD4F1" w:rsidR="00AF0933" w:rsidRPr="00EB3C12" w:rsidRDefault="00AF0933" w:rsidP="00CC5D6C">
      <w:r w:rsidRPr="00EB3C12">
        <w:t>To achieve mandatory participation, a Consensus Policy must be adopted</w:t>
      </w:r>
      <w:r w:rsidR="00806D7C" w:rsidRPr="00EB3C12">
        <w:t>. We</w:t>
      </w:r>
      <w:r w:rsidRPr="00EB3C12">
        <w:t xml:space="preserve"> urge the Council to formally incorporate “RDRS mandatory adoption” into its policy work – whether by amending the existing EPDP Phase 2 policy recommendations or by initiating a focused policy development process (PDP/EPDP). Section 16 of the GNSO Policy Development Process Manual provides mechanisms to modify policy if circumstances change or if new </w:t>
      </w:r>
      <w:r w:rsidRPr="00EB3C12">
        <w:lastRenderedPageBreak/>
        <w:t xml:space="preserve">information (like pilot data) warrants it. Given that the ICANN Board specifically requested this analysis for community input, </w:t>
      </w:r>
      <w:r w:rsidR="00806D7C" w:rsidRPr="00EB3C12">
        <w:t xml:space="preserve">COA and </w:t>
      </w:r>
      <w:r w:rsidRPr="00EB3C12">
        <w:t>the IPC view this as a chance to build consensus on a requirement that all gTLD registrars (and relevant registries) must use the standardized request system.</w:t>
      </w:r>
    </w:p>
    <w:p w14:paraId="07CC2B57" w14:textId="28DBB83E" w:rsidR="00CC5D6C" w:rsidRPr="00EB3C12" w:rsidRDefault="00CC5D6C" w:rsidP="00CC5D6C">
      <w:pPr>
        <w:pStyle w:val="ListParagraph"/>
        <w:numPr>
          <w:ilvl w:val="0"/>
          <w:numId w:val="4"/>
        </w:numPr>
        <w:rPr>
          <w:rFonts w:cs="Calibri"/>
        </w:rPr>
      </w:pPr>
      <w:r w:rsidRPr="00EB3C12">
        <w:rPr>
          <w:rFonts w:cs="Calibri"/>
          <w:b/>
          <w:bCs/>
        </w:rPr>
        <w:t>Response Timeline and Service Level Agreements for Urgent Requests.</w:t>
      </w:r>
    </w:p>
    <w:p w14:paraId="0CF7B69C" w14:textId="6496509E" w:rsidR="008B15F3" w:rsidRPr="00EB3C12" w:rsidRDefault="00CC5D6C" w:rsidP="001554BE">
      <w:pPr>
        <w:rPr>
          <w:rFonts w:cs="Calibri"/>
        </w:rPr>
      </w:pPr>
      <w:r w:rsidRPr="00EB3C12">
        <w:rPr>
          <w:rFonts w:cs="Calibri"/>
        </w:rPr>
        <w:t xml:space="preserve">The current Registration Data Policy (which resulted from EPDP Phase 1) requires registrars to respond to disclosure requests “without undue delay, but no more than 30 calendar days” in most cases. However, it does not </w:t>
      </w:r>
      <w:r w:rsidR="00600B06">
        <w:rPr>
          <w:rFonts w:cs="Calibri"/>
        </w:rPr>
        <w:t>outline</w:t>
      </w:r>
      <w:r w:rsidRPr="00EB3C12">
        <w:rPr>
          <w:rFonts w:cs="Calibri"/>
        </w:rPr>
        <w:t xml:space="preserve"> </w:t>
      </w:r>
      <w:r w:rsidR="00AE254D">
        <w:rPr>
          <w:rFonts w:cs="Calibri"/>
        </w:rPr>
        <w:t xml:space="preserve">any </w:t>
      </w:r>
      <w:r w:rsidR="00600B06">
        <w:rPr>
          <w:rFonts w:cs="Calibri"/>
        </w:rPr>
        <w:t xml:space="preserve">consequences </w:t>
      </w:r>
      <w:r w:rsidR="00AE254D">
        <w:rPr>
          <w:rFonts w:cs="Calibri"/>
        </w:rPr>
        <w:t>when the 30</w:t>
      </w:r>
      <w:r w:rsidR="00600B06">
        <w:rPr>
          <w:rFonts w:cs="Calibri"/>
        </w:rPr>
        <w:t>-</w:t>
      </w:r>
      <w:r w:rsidR="00AE254D">
        <w:rPr>
          <w:rFonts w:cs="Calibri"/>
        </w:rPr>
        <w:t xml:space="preserve">day timeline is not met. Moreover, </w:t>
      </w:r>
      <w:r w:rsidRPr="00EB3C12">
        <w:rPr>
          <w:rFonts w:cs="Calibri"/>
        </w:rPr>
        <w:t>a faster timeline for “Urgent” requests</w:t>
      </w:r>
      <w:r w:rsidR="00AE254D">
        <w:rPr>
          <w:rFonts w:cs="Calibri"/>
        </w:rPr>
        <w:t xml:space="preserve"> has not been mandated</w:t>
      </w:r>
      <w:r w:rsidRPr="00EB3C12">
        <w:rPr>
          <w:rFonts w:cs="Calibri"/>
        </w:rPr>
        <w:t xml:space="preserve">, even though EPDP Phase 1 Recommendation 18 had envisaged establishing such an expedited timeline during implementation. Due to a lack of consensus in the Phase 1 IRT, the published Policy (effective August 2025) simply has the 30-day outer limit for all requests, urgent or not. Meanwhile, the EPDP Phase 2 (SSAD) recommendations </w:t>
      </w:r>
      <w:r w:rsidRPr="00EB3C12">
        <w:rPr>
          <w:rFonts w:cs="Calibri"/>
          <w:i/>
          <w:iCs/>
        </w:rPr>
        <w:t>did</w:t>
      </w:r>
      <w:r w:rsidRPr="00EB3C12">
        <w:rPr>
          <w:rFonts w:cs="Calibri"/>
        </w:rPr>
        <w:t xml:space="preserve"> specify separate turnaround times for urgent vs. normal requests (</w:t>
      </w:r>
      <w:r w:rsidRPr="00EB3C12">
        <w:rPr>
          <w:rFonts w:cs="Calibri"/>
          <w:i/>
          <w:iCs/>
        </w:rPr>
        <w:t>e.g</w:t>
      </w:r>
      <w:r w:rsidRPr="00EB3C12">
        <w:rPr>
          <w:rFonts w:cs="Calibri"/>
        </w:rPr>
        <w:t>., 1 business day for urgent). The RDRS pilot, by design, excluded urgent request handling from its scope and has no special SLA for such cases. The gap is that no binding, adopted, policy today guarantees a rapid response for truly urgent disclosure needs, notwithstanding that there is Board-adopted policy requiring that urgent requests be dealt with more rapidly than normal requests, but without setting a specific timing. The lack of a binding timeline for the handling of requests</w:t>
      </w:r>
      <w:r w:rsidR="00600B06">
        <w:rPr>
          <w:rFonts w:cs="Calibri"/>
        </w:rPr>
        <w:t xml:space="preserve"> </w:t>
      </w:r>
      <w:r w:rsidRPr="00EB3C12">
        <w:rPr>
          <w:rFonts w:cs="Calibri"/>
        </w:rPr>
        <w:t xml:space="preserve">is a serious concern for </w:t>
      </w:r>
      <w:r w:rsidR="001554BE" w:rsidRPr="00EB3C12">
        <w:rPr>
          <w:rFonts w:cs="Calibri"/>
        </w:rPr>
        <w:t>COA</w:t>
      </w:r>
      <w:r w:rsidR="003D2379" w:rsidRPr="00EB3C12">
        <w:rPr>
          <w:rFonts w:cs="Calibri"/>
        </w:rPr>
        <w:t xml:space="preserve"> </w:t>
      </w:r>
      <w:r w:rsidR="001554BE" w:rsidRPr="00EB3C12">
        <w:rPr>
          <w:rFonts w:cs="Calibri"/>
        </w:rPr>
        <w:t>Members.</w:t>
      </w:r>
    </w:p>
    <w:p w14:paraId="0429555D" w14:textId="739096D7" w:rsidR="001554BE" w:rsidRPr="00EB3C12" w:rsidRDefault="001554BE" w:rsidP="008B15F3">
      <w:pPr>
        <w:pStyle w:val="ListParagraph"/>
        <w:numPr>
          <w:ilvl w:val="0"/>
          <w:numId w:val="4"/>
        </w:numPr>
        <w:rPr>
          <w:rFonts w:cs="Calibri"/>
        </w:rPr>
      </w:pPr>
      <w:r w:rsidRPr="00EB3C12">
        <w:rPr>
          <w:rFonts w:cs="Calibri"/>
          <w:b/>
          <w:bCs/>
        </w:rPr>
        <w:t>API Integration and System Integration for Efficiency</w:t>
      </w:r>
    </w:p>
    <w:p w14:paraId="40BC7C65" w14:textId="20B97FE3" w:rsidR="001554BE" w:rsidRPr="00EB3C12" w:rsidRDefault="001554BE" w:rsidP="001554BE">
      <w:pPr>
        <w:rPr>
          <w:rFonts w:cs="Calibri"/>
        </w:rPr>
      </w:pPr>
      <w:r w:rsidRPr="00EB3C12">
        <w:rPr>
          <w:rFonts w:cs="Calibri"/>
        </w:rPr>
        <w:t>The current RDRS web portal, while functional, is a manual, web-based interface that can be cumbersome for high-volume users and for integration into existing workflows. The Board’s proposed enhancements (and the RDRS Standing Committee) highlight the addition of Application Programming Interfaces (APIs) for both requestors and registrars as a key improvement. API</w:t>
      </w:r>
      <w:r w:rsidR="000A21B6" w:rsidRPr="00EB3C12">
        <w:rPr>
          <w:rFonts w:cs="Calibri"/>
        </w:rPr>
        <w:t>s</w:t>
      </w:r>
      <w:r w:rsidRPr="00EB3C12">
        <w:rPr>
          <w:rFonts w:cs="Calibri"/>
        </w:rPr>
        <w:t xml:space="preserve"> would allow automated submission of requests and pulling of responses, enabling organizations to incorporate RDRS into their own case management systems or allowing registrars to integrate with their ticketing systems. The Standing Committee specifically recommended API integration and noted it requires no policy change to implement. The main challenge is operational and resource-based – ICANN org would need to develop and support the API functionality. </w:t>
      </w:r>
    </w:p>
    <w:p w14:paraId="19FCFD98" w14:textId="506E4516" w:rsidR="001554BE" w:rsidRPr="00EB3C12" w:rsidRDefault="008B15F3" w:rsidP="001554BE">
      <w:pPr>
        <w:rPr>
          <w:rFonts w:cs="Calibri"/>
        </w:rPr>
      </w:pPr>
      <w:r w:rsidRPr="00EB3C12">
        <w:rPr>
          <w:rFonts w:cs="Calibri"/>
        </w:rPr>
        <w:t>The</w:t>
      </w:r>
      <w:r w:rsidR="001554BE" w:rsidRPr="00EB3C12">
        <w:rPr>
          <w:rFonts w:cs="Calibri"/>
        </w:rPr>
        <w:t xml:space="preserve"> lack of an API is not a “policy gap” per se, but it is a practical limitation that, if addressed, can improve adoption and user satisfaction. For example,</w:t>
      </w:r>
      <w:r w:rsidR="00A219C2" w:rsidRPr="00EB3C12">
        <w:rPr>
          <w:rFonts w:cs="Calibri"/>
        </w:rPr>
        <w:t xml:space="preserve"> companies that send many requests</w:t>
      </w:r>
      <w:r w:rsidR="001554BE" w:rsidRPr="00EB3C12">
        <w:rPr>
          <w:rFonts w:cs="Calibri"/>
        </w:rPr>
        <w:t xml:space="preserve"> </w:t>
      </w:r>
      <w:r w:rsidR="00A219C2" w:rsidRPr="00EB3C12">
        <w:rPr>
          <w:rFonts w:cs="Calibri"/>
        </w:rPr>
        <w:t>(</w:t>
      </w:r>
      <w:r w:rsidRPr="00EB3C12">
        <w:rPr>
          <w:rFonts w:cs="Calibri"/>
        </w:rPr>
        <w:t xml:space="preserve">such as </w:t>
      </w:r>
      <w:r w:rsidR="00A56159" w:rsidRPr="00EB3C12">
        <w:rPr>
          <w:rFonts w:cs="Calibri"/>
        </w:rPr>
        <w:t xml:space="preserve">some </w:t>
      </w:r>
      <w:r w:rsidRPr="00EB3C12">
        <w:rPr>
          <w:rFonts w:cs="Calibri"/>
        </w:rPr>
        <w:t>COA member</w:t>
      </w:r>
      <w:r w:rsidR="00A219C2" w:rsidRPr="00EB3C12">
        <w:rPr>
          <w:rFonts w:cs="Calibri"/>
        </w:rPr>
        <w:t>s</w:t>
      </w:r>
      <w:r w:rsidR="001554BE" w:rsidRPr="00EB3C12">
        <w:rPr>
          <w:rFonts w:cs="Calibri"/>
        </w:rPr>
        <w:t xml:space="preserve">) could automate parts of their workflow, reducing the time spent on data entry. Similarly, registrars who handle many requests </w:t>
      </w:r>
      <w:r w:rsidR="001554BE" w:rsidRPr="00EB3C12">
        <w:rPr>
          <w:rFonts w:cs="Calibri"/>
        </w:rPr>
        <w:lastRenderedPageBreak/>
        <w:t>could see efficiency gains, improved consistency, and fewer errors if they can use an API rather than logging into a web UI for each request.</w:t>
      </w:r>
    </w:p>
    <w:p w14:paraId="223EB6E5" w14:textId="07CDA9DF" w:rsidR="00A219C2" w:rsidRPr="00EB3C12" w:rsidRDefault="00A219C2" w:rsidP="00CC5D6C">
      <w:pPr>
        <w:rPr>
          <w:rFonts w:cs="Calibri"/>
        </w:rPr>
      </w:pPr>
      <w:r w:rsidRPr="00EB3C12">
        <w:rPr>
          <w:rFonts w:cs="Calibri"/>
        </w:rPr>
        <w:t xml:space="preserve">COA would </w:t>
      </w:r>
      <w:r w:rsidR="001554BE" w:rsidRPr="00EB3C12">
        <w:rPr>
          <w:rFonts w:cs="Calibri"/>
        </w:rPr>
        <w:t>support</w:t>
      </w:r>
      <w:r w:rsidRPr="00EB3C12">
        <w:rPr>
          <w:rFonts w:cs="Calibri"/>
        </w:rPr>
        <w:t xml:space="preserve"> </w:t>
      </w:r>
      <w:r w:rsidR="001554BE" w:rsidRPr="00EB3C12">
        <w:rPr>
          <w:rFonts w:cs="Calibri"/>
        </w:rPr>
        <w:t xml:space="preserve">the rapid implementation of APIs for RDRS. We believe that a more efficient system benefits all parties: it lowers transaction </w:t>
      </w:r>
      <w:r w:rsidRPr="00EB3C12">
        <w:rPr>
          <w:rFonts w:cs="Calibri"/>
        </w:rPr>
        <w:t>costs and</w:t>
      </w:r>
      <w:r w:rsidR="001554BE" w:rsidRPr="00EB3C12">
        <w:rPr>
          <w:rFonts w:cs="Calibri"/>
        </w:rPr>
        <w:t xml:space="preserve"> encourages participation.  The cost concerns raised in the SSAD ODA about a complex system might be mitigated if incremental improvements like APIs are added gradually and targeted to real needs. </w:t>
      </w:r>
      <w:r w:rsidRPr="00EB3C12">
        <w:rPr>
          <w:rFonts w:cs="Calibri"/>
        </w:rPr>
        <w:t>COA</w:t>
      </w:r>
      <w:r w:rsidR="001554BE" w:rsidRPr="00EB3C12">
        <w:rPr>
          <w:rFonts w:cs="Calibri"/>
        </w:rPr>
        <w:t xml:space="preserve"> recommends that ICANN org prioritize API development as part of the RDRS maintenance and evolution, and that the ICANN Board encourage allocation of resources to this end.  </w:t>
      </w:r>
    </w:p>
    <w:p w14:paraId="74286984" w14:textId="6541D87B" w:rsidR="00DA115C" w:rsidRPr="00EB3C12" w:rsidRDefault="00DA115C" w:rsidP="00267C1B">
      <w:pPr>
        <w:pStyle w:val="ListParagraph"/>
        <w:numPr>
          <w:ilvl w:val="0"/>
          <w:numId w:val="4"/>
        </w:numPr>
        <w:rPr>
          <w:rFonts w:cs="Calibri"/>
          <w:b/>
          <w:bCs/>
        </w:rPr>
      </w:pPr>
      <w:bookmarkStart w:id="1" w:name="OLE_LINK2"/>
      <w:r w:rsidRPr="00EB3C12">
        <w:rPr>
          <w:rFonts w:cs="Calibri"/>
          <w:b/>
          <w:bCs/>
        </w:rPr>
        <w:t>Standardization and Transparency of Request Handling</w:t>
      </w:r>
      <w:bookmarkStart w:id="2" w:name="OLE_LINK1"/>
    </w:p>
    <w:p w14:paraId="4ED3630F" w14:textId="77777777" w:rsidR="00DA115C" w:rsidRPr="00EB3C12" w:rsidRDefault="00DA115C" w:rsidP="00DA115C">
      <w:pPr>
        <w:rPr>
          <w:rFonts w:cs="Calibri"/>
          <w:color w:val="333333"/>
          <w:shd w:val="clear" w:color="auto" w:fill="FEFEFE"/>
        </w:rPr>
      </w:pPr>
      <w:r w:rsidRPr="00EB3C12">
        <w:rPr>
          <w:rFonts w:cs="Calibri"/>
          <w:color w:val="333333"/>
          <w:shd w:val="clear" w:color="auto" w:fill="FEFEFE"/>
        </w:rPr>
        <w:t>RDRS currently lacks standardized procedures and specific policy requirements governing how registrars evaluate and respond to requests. Because RDRS is a voluntary framework with no binding contractual obligations, each provider handles requests inconsistently, creating a frustrating experience for requestors. This inconsistency is a major problem—it undermines confidence in the system, prevents the collection of meaningful metrics, and contradicts established policy principles for standardized processing.</w:t>
      </w:r>
    </w:p>
    <w:p w14:paraId="1E8C0B1F" w14:textId="77777777" w:rsidR="00DA115C" w:rsidRPr="00EB3C12" w:rsidRDefault="00DA115C" w:rsidP="00DA115C">
      <w:pPr>
        <w:rPr>
          <w:rFonts w:cs="Calibri"/>
          <w:color w:val="333333"/>
          <w:shd w:val="clear" w:color="auto" w:fill="FEFEFE"/>
        </w:rPr>
      </w:pPr>
      <w:r w:rsidRPr="00EB3C12">
        <w:rPr>
          <w:rFonts w:cs="Calibri"/>
          <w:color w:val="333333"/>
          <w:shd w:val="clear" w:color="auto" w:fill="FEFEFE"/>
        </w:rPr>
        <w:t>COA and IPC members have identified systematic problems in how registrars process requests. These include: summarily denying requests with minimal explanation; providing vague or boilerplate refusal reasons that leave requestors unable to understand what might be lacking; offering alternative channels (such as seeking a court order or contacting law enforcement) instead of addressing the merits of RDRS requests; and, in some cases, falsely claiming that requestors failed to respond to follow-up inquiries when no such follow-up was ever sent. These patterns demonstrate a fundamental failure to provide the transparent, reasoned responses that the framework requires.</w:t>
      </w:r>
    </w:p>
    <w:p w14:paraId="7D93617A" w14:textId="77777777" w:rsidR="00DA115C" w:rsidRPr="00EB3C12" w:rsidRDefault="00DA115C" w:rsidP="00DA115C">
      <w:pPr>
        <w:rPr>
          <w:rFonts w:cs="Calibri"/>
          <w:color w:val="333333"/>
          <w:shd w:val="clear" w:color="auto" w:fill="FEFEFE"/>
        </w:rPr>
      </w:pPr>
      <w:r w:rsidRPr="00EB3C12">
        <w:rPr>
          <w:rFonts w:cs="Calibri"/>
          <w:color w:val="333333"/>
          <w:shd w:val="clear" w:color="auto" w:fill="FEFEFE"/>
        </w:rPr>
        <w:t>These practices directly violate EPDP Phase 2 Recommendation 8.5, which states that requests should not be denied “solely because they are founded on alleged intellectual property infringement.” Nonetheless, COA and IPC members have witnessed trademark and copyright enforcement requests being rejected outright, with registrars instructing requestors to involve law enforcement instead. This represents a clear misalignment between community policy guidance and registrar practice.</w:t>
      </w:r>
    </w:p>
    <w:p w14:paraId="5E83901D" w14:textId="2206CCB4" w:rsidR="00CC5D6C" w:rsidRPr="00EB3C12" w:rsidRDefault="00DA115C" w:rsidP="00F77771">
      <w:pPr>
        <w:rPr>
          <w:rFonts w:cs="Calibri"/>
          <w:color w:val="333333"/>
          <w:shd w:val="clear" w:color="auto" w:fill="FEFEFE"/>
        </w:rPr>
      </w:pPr>
      <w:r w:rsidRPr="00EB3C12">
        <w:rPr>
          <w:rFonts w:cs="Calibri"/>
          <w:color w:val="333333"/>
          <w:shd w:val="clear" w:color="auto" w:fill="FEFEFE"/>
        </w:rPr>
        <w:t xml:space="preserve">The Registration Data Policy, in force since August 21, 2025, now provides the framework for correction. The policy requires that when registration data is not disclosed, registrars must provide “a clear explanation of how the contracted party arrived at its decision that is sufficient for a requestor to objectively understand the reasons for the decision” (s10.6.2 Registration Data Policy). Requestors must therefore receive either the requested data or a </w:t>
      </w:r>
      <w:r w:rsidRPr="00EB3C12">
        <w:rPr>
          <w:rFonts w:cs="Calibri"/>
          <w:color w:val="333333"/>
          <w:shd w:val="clear" w:color="auto" w:fill="FEFEFE"/>
        </w:rPr>
        <w:lastRenderedPageBreak/>
        <w:t>clear and comprehensible explanation for refusal—with no exceptions based on intellectual property considerations. Compliance with this policy obligation should establish the transparent, standardized processing that RDRS was designed to provide.</w:t>
      </w:r>
      <w:bookmarkEnd w:id="1"/>
      <w:bookmarkEnd w:id="2"/>
    </w:p>
    <w:p w14:paraId="56CA33F4" w14:textId="0DB09216" w:rsidR="00806D7C" w:rsidRPr="00EB3C12" w:rsidRDefault="00806D7C" w:rsidP="00806D7C">
      <w:pPr>
        <w:rPr>
          <w:rFonts w:cs="Arial"/>
        </w:rPr>
      </w:pPr>
      <w:r w:rsidRPr="00EB3C12">
        <w:rPr>
          <w:rFonts w:cs="Arial"/>
        </w:rPr>
        <w:t xml:space="preserve">Thank you for the consideration of our input and perspectives. We would be happy to meet with any </w:t>
      </w:r>
      <w:r w:rsidRPr="00EB3C12">
        <w:rPr>
          <w:rFonts w:cs="Arial"/>
        </w:rPr>
        <w:t xml:space="preserve">ICANN </w:t>
      </w:r>
      <w:r w:rsidR="00EB3C12" w:rsidRPr="00EB3C12">
        <w:rPr>
          <w:rFonts w:cs="Arial"/>
        </w:rPr>
        <w:t xml:space="preserve">officials, staff, or participants </w:t>
      </w:r>
      <w:r w:rsidRPr="00EB3C12">
        <w:rPr>
          <w:rFonts w:cs="Arial"/>
        </w:rPr>
        <w:t>to discuss these issues further and/or answer any questions that you may have with respect to this submission.</w:t>
      </w:r>
    </w:p>
    <w:p w14:paraId="6FD84489" w14:textId="77777777" w:rsidR="00806D7C" w:rsidRPr="00EB3C12" w:rsidRDefault="00806D7C" w:rsidP="00F77771">
      <w:pPr>
        <w:rPr>
          <w:rFonts w:cs="Calibri"/>
        </w:rPr>
      </w:pPr>
    </w:p>
    <w:sectPr w:rsidR="00806D7C" w:rsidRPr="00EB3C12" w:rsidSect="00564916">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A86"/>
    <w:multiLevelType w:val="hybridMultilevel"/>
    <w:tmpl w:val="E93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D51DF"/>
    <w:multiLevelType w:val="multilevel"/>
    <w:tmpl w:val="5CE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EA4E96"/>
    <w:multiLevelType w:val="multilevel"/>
    <w:tmpl w:val="088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D92888"/>
    <w:multiLevelType w:val="hybridMultilevel"/>
    <w:tmpl w:val="5796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148C4"/>
    <w:multiLevelType w:val="hybridMultilevel"/>
    <w:tmpl w:val="4868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062E7"/>
    <w:multiLevelType w:val="hybridMultilevel"/>
    <w:tmpl w:val="1E865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24337"/>
    <w:multiLevelType w:val="multilevel"/>
    <w:tmpl w:val="CF66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998189">
    <w:abstractNumId w:val="2"/>
  </w:num>
  <w:num w:numId="2" w16cid:durableId="1405184990">
    <w:abstractNumId w:val="1"/>
  </w:num>
  <w:num w:numId="3" w16cid:durableId="1099134336">
    <w:abstractNumId w:val="6"/>
  </w:num>
  <w:num w:numId="4" w16cid:durableId="520556093">
    <w:abstractNumId w:val="4"/>
  </w:num>
  <w:num w:numId="5" w16cid:durableId="1649088365">
    <w:abstractNumId w:val="3"/>
  </w:num>
  <w:num w:numId="6" w16cid:durableId="1256356438">
    <w:abstractNumId w:val="5"/>
  </w:num>
  <w:num w:numId="7" w16cid:durableId="175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7E"/>
    <w:rsid w:val="0004363B"/>
    <w:rsid w:val="0008590F"/>
    <w:rsid w:val="000A21B6"/>
    <w:rsid w:val="000D72C4"/>
    <w:rsid w:val="00131CD9"/>
    <w:rsid w:val="00136BDD"/>
    <w:rsid w:val="001554BE"/>
    <w:rsid w:val="00177BBF"/>
    <w:rsid w:val="001A5F77"/>
    <w:rsid w:val="001C0399"/>
    <w:rsid w:val="00237B51"/>
    <w:rsid w:val="00267C1B"/>
    <w:rsid w:val="0027016B"/>
    <w:rsid w:val="00323728"/>
    <w:rsid w:val="00377353"/>
    <w:rsid w:val="00397017"/>
    <w:rsid w:val="003C0967"/>
    <w:rsid w:val="003D08C1"/>
    <w:rsid w:val="003D2379"/>
    <w:rsid w:val="003D5B0F"/>
    <w:rsid w:val="003E387E"/>
    <w:rsid w:val="004F049C"/>
    <w:rsid w:val="00564916"/>
    <w:rsid w:val="00566740"/>
    <w:rsid w:val="00582458"/>
    <w:rsid w:val="005A480D"/>
    <w:rsid w:val="00600B06"/>
    <w:rsid w:val="00690F73"/>
    <w:rsid w:val="0076585A"/>
    <w:rsid w:val="007904EF"/>
    <w:rsid w:val="00806D7C"/>
    <w:rsid w:val="0085009E"/>
    <w:rsid w:val="008B15F3"/>
    <w:rsid w:val="008C7C00"/>
    <w:rsid w:val="008E3E68"/>
    <w:rsid w:val="008E428C"/>
    <w:rsid w:val="00906492"/>
    <w:rsid w:val="00981581"/>
    <w:rsid w:val="009A27E3"/>
    <w:rsid w:val="00A01C24"/>
    <w:rsid w:val="00A10538"/>
    <w:rsid w:val="00A219C2"/>
    <w:rsid w:val="00A479C9"/>
    <w:rsid w:val="00A56159"/>
    <w:rsid w:val="00AB455B"/>
    <w:rsid w:val="00AE254D"/>
    <w:rsid w:val="00AF0933"/>
    <w:rsid w:val="00B0309A"/>
    <w:rsid w:val="00B32C60"/>
    <w:rsid w:val="00B83EDE"/>
    <w:rsid w:val="00B9175D"/>
    <w:rsid w:val="00B96AA2"/>
    <w:rsid w:val="00BB1584"/>
    <w:rsid w:val="00BC1898"/>
    <w:rsid w:val="00BC75BB"/>
    <w:rsid w:val="00BE7859"/>
    <w:rsid w:val="00C51645"/>
    <w:rsid w:val="00C9249A"/>
    <w:rsid w:val="00CA3C80"/>
    <w:rsid w:val="00CC5D6C"/>
    <w:rsid w:val="00D109E4"/>
    <w:rsid w:val="00DA115C"/>
    <w:rsid w:val="00EB2097"/>
    <w:rsid w:val="00EB3C12"/>
    <w:rsid w:val="00F137D7"/>
    <w:rsid w:val="00F40042"/>
    <w:rsid w:val="00F77771"/>
    <w:rsid w:val="00F8107A"/>
    <w:rsid w:val="00F83A62"/>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0BDE"/>
  <w14:defaultImageDpi w14:val="32767"/>
  <w15:chartTrackingRefBased/>
  <w15:docId w15:val="{AC4D515B-709D-0244-A362-616008C6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87E"/>
    <w:rPr>
      <w:rFonts w:eastAsiaTheme="majorEastAsia" w:cstheme="majorBidi"/>
      <w:color w:val="272727" w:themeColor="text1" w:themeTint="D8"/>
    </w:rPr>
  </w:style>
  <w:style w:type="paragraph" w:styleId="Title">
    <w:name w:val="Title"/>
    <w:basedOn w:val="Normal"/>
    <w:next w:val="Normal"/>
    <w:link w:val="TitleChar"/>
    <w:uiPriority w:val="10"/>
    <w:qFormat/>
    <w:rsid w:val="003E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87E"/>
    <w:pPr>
      <w:spacing w:before="160"/>
      <w:jc w:val="center"/>
    </w:pPr>
    <w:rPr>
      <w:i/>
      <w:iCs/>
      <w:color w:val="404040" w:themeColor="text1" w:themeTint="BF"/>
    </w:rPr>
  </w:style>
  <w:style w:type="character" w:customStyle="1" w:styleId="QuoteChar">
    <w:name w:val="Quote Char"/>
    <w:basedOn w:val="DefaultParagraphFont"/>
    <w:link w:val="Quote"/>
    <w:uiPriority w:val="29"/>
    <w:rsid w:val="003E387E"/>
    <w:rPr>
      <w:i/>
      <w:iCs/>
      <w:color w:val="404040" w:themeColor="text1" w:themeTint="BF"/>
    </w:rPr>
  </w:style>
  <w:style w:type="paragraph" w:styleId="ListParagraph">
    <w:name w:val="List Paragraph"/>
    <w:basedOn w:val="Normal"/>
    <w:uiPriority w:val="34"/>
    <w:qFormat/>
    <w:rsid w:val="003E387E"/>
    <w:pPr>
      <w:ind w:left="720"/>
      <w:contextualSpacing/>
    </w:pPr>
  </w:style>
  <w:style w:type="character" w:styleId="IntenseEmphasis">
    <w:name w:val="Intense Emphasis"/>
    <w:basedOn w:val="DefaultParagraphFont"/>
    <w:uiPriority w:val="21"/>
    <w:qFormat/>
    <w:rsid w:val="003E387E"/>
    <w:rPr>
      <w:i/>
      <w:iCs/>
      <w:color w:val="0F4761" w:themeColor="accent1" w:themeShade="BF"/>
    </w:rPr>
  </w:style>
  <w:style w:type="paragraph" w:styleId="IntenseQuote">
    <w:name w:val="Intense Quote"/>
    <w:basedOn w:val="Normal"/>
    <w:next w:val="Normal"/>
    <w:link w:val="IntenseQuoteChar"/>
    <w:uiPriority w:val="30"/>
    <w:qFormat/>
    <w:rsid w:val="003E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87E"/>
    <w:rPr>
      <w:i/>
      <w:iCs/>
      <w:color w:val="0F4761" w:themeColor="accent1" w:themeShade="BF"/>
    </w:rPr>
  </w:style>
  <w:style w:type="character" w:styleId="IntenseReference">
    <w:name w:val="Intense Reference"/>
    <w:basedOn w:val="DefaultParagraphFont"/>
    <w:uiPriority w:val="32"/>
    <w:qFormat/>
    <w:rsid w:val="003E387E"/>
    <w:rPr>
      <w:b/>
      <w:bCs/>
      <w:smallCaps/>
      <w:color w:val="0F4761" w:themeColor="accent1" w:themeShade="BF"/>
      <w:spacing w:val="5"/>
    </w:rPr>
  </w:style>
  <w:style w:type="character" w:styleId="Hyperlink">
    <w:name w:val="Hyperlink"/>
    <w:basedOn w:val="DefaultParagraphFont"/>
    <w:uiPriority w:val="99"/>
    <w:unhideWhenUsed/>
    <w:rsid w:val="003E387E"/>
    <w:rPr>
      <w:color w:val="0000FF"/>
      <w:u w:val="single"/>
    </w:rPr>
  </w:style>
  <w:style w:type="character" w:styleId="CommentReference">
    <w:name w:val="annotation reference"/>
    <w:basedOn w:val="DefaultParagraphFont"/>
    <w:uiPriority w:val="99"/>
    <w:semiHidden/>
    <w:unhideWhenUsed/>
    <w:rsid w:val="00CC5D6C"/>
    <w:rPr>
      <w:sz w:val="16"/>
      <w:szCs w:val="16"/>
    </w:rPr>
  </w:style>
  <w:style w:type="paragraph" w:styleId="CommentText">
    <w:name w:val="annotation text"/>
    <w:basedOn w:val="Normal"/>
    <w:link w:val="CommentTextChar"/>
    <w:uiPriority w:val="99"/>
    <w:unhideWhenUsed/>
    <w:rsid w:val="00CC5D6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C5D6C"/>
    <w:rPr>
      <w:kern w:val="0"/>
      <w:sz w:val="20"/>
      <w:szCs w:val="20"/>
      <w14:ligatures w14:val="none"/>
    </w:rPr>
  </w:style>
  <w:style w:type="paragraph" w:styleId="Revision">
    <w:name w:val="Revision"/>
    <w:hidden/>
    <w:uiPriority w:val="99"/>
    <w:semiHidden/>
    <w:rsid w:val="00BC1898"/>
    <w:pPr>
      <w:spacing w:after="0" w:line="240" w:lineRule="auto"/>
    </w:pPr>
  </w:style>
  <w:style w:type="character" w:styleId="UnresolvedMention">
    <w:name w:val="Unresolved Mention"/>
    <w:basedOn w:val="DefaultParagraphFont"/>
    <w:uiPriority w:val="99"/>
    <w:rsid w:val="00A01C24"/>
    <w:rPr>
      <w:color w:val="605E5C"/>
      <w:shd w:val="clear" w:color="auto" w:fill="E1DFDD"/>
    </w:rPr>
  </w:style>
  <w:style w:type="character" w:styleId="FollowedHyperlink">
    <w:name w:val="FollowedHyperlink"/>
    <w:basedOn w:val="DefaultParagraphFont"/>
    <w:uiPriority w:val="99"/>
    <w:semiHidden/>
    <w:unhideWhenUsed/>
    <w:rsid w:val="003D5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ionpictures.org/abou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esa.com/about-esa/" TargetMode="External"/><Relationship Id="rId12" Type="http://schemas.openxmlformats.org/officeDocument/2006/relationships/hyperlink" Target="https://www.icann.org/en/system/files/files/registration-data-policy-faqs-21aug25-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mi.com/about" TargetMode="External"/><Relationship Id="rId11" Type="http://schemas.openxmlformats.org/officeDocument/2006/relationships/hyperlink" Target="https://thewaltdisneycompany.com/about/" TargetMode="External"/><Relationship Id="rId5" Type="http://schemas.openxmlformats.org/officeDocument/2006/relationships/hyperlink" Target="https://onlineaccountability.net/" TargetMode="External"/><Relationship Id="rId10" Type="http://schemas.openxmlformats.org/officeDocument/2006/relationships/hyperlink" Target="https://www.riaa.com/what-we-do/" TargetMode="External"/><Relationship Id="rId4" Type="http://schemas.openxmlformats.org/officeDocument/2006/relationships/webSettings" Target="webSettings.xml"/><Relationship Id="rId9" Type="http://schemas.openxmlformats.org/officeDocument/2006/relationships/hyperlink" Target="https://www.nbcuniversal.com/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David Hughes</cp:lastModifiedBy>
  <cp:revision>8</cp:revision>
  <dcterms:created xsi:type="dcterms:W3CDTF">2025-12-10T18:49:00Z</dcterms:created>
  <dcterms:modified xsi:type="dcterms:W3CDTF">2025-12-10T19:11:00Z</dcterms:modified>
</cp:coreProperties>
</file>